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DA01" w14:textId="77777777" w:rsidR="00296FF1" w:rsidRPr="008931A9" w:rsidRDefault="00DF5178" w:rsidP="00FB5089">
      <w:pPr>
        <w:spacing w:after="0" w:line="240" w:lineRule="auto"/>
        <w:rPr>
          <w:rFonts w:ascii="Arial" w:hAnsi="Arial" w:cs="Arial"/>
          <w:b/>
        </w:rPr>
      </w:pPr>
      <w:r w:rsidRPr="008931A9">
        <w:rPr>
          <w:rFonts w:ascii="Arial" w:hAnsi="Arial" w:cs="Arial"/>
          <w:noProof/>
        </w:rPr>
        <mc:AlternateContent>
          <mc:Choice Requires="wps">
            <w:drawing>
              <wp:anchor distT="0" distB="0" distL="114300" distR="114300" simplePos="0" relativeHeight="251662336" behindDoc="0" locked="0" layoutInCell="1" allowOverlap="1" wp14:anchorId="581D6F9A" wp14:editId="7C4F5AB5">
                <wp:simplePos x="0" y="0"/>
                <wp:positionH relativeFrom="column">
                  <wp:posOffset>-101600</wp:posOffset>
                </wp:positionH>
                <wp:positionV relativeFrom="paragraph">
                  <wp:posOffset>-609600</wp:posOffset>
                </wp:positionV>
                <wp:extent cx="2473960" cy="2374900"/>
                <wp:effectExtent l="0" t="0" r="127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237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6755F" w14:textId="77777777" w:rsidR="00B86E2D" w:rsidRDefault="00B86E2D">
                            <w:r>
                              <w:rPr>
                                <w:noProof/>
                              </w:rPr>
                              <w:drawing>
                                <wp:inline distT="0" distB="0" distL="0" distR="0" wp14:anchorId="4FF8DB9E" wp14:editId="190E1078">
                                  <wp:extent cx="1416741" cy="154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jpg"/>
                                          <pic:cNvPicPr/>
                                        </pic:nvPicPr>
                                        <pic:blipFill>
                                          <a:blip r:embed="rId11">
                                            <a:extLst>
                                              <a:ext uri="{28A0092B-C50C-407E-A947-70E740481C1C}">
                                                <a14:useLocalDpi xmlns:a14="http://schemas.microsoft.com/office/drawing/2010/main" val="0"/>
                                              </a:ext>
                                            </a:extLst>
                                          </a:blip>
                                          <a:stretch>
                                            <a:fillRect/>
                                          </a:stretch>
                                        </pic:blipFill>
                                        <pic:spPr>
                                          <a:xfrm>
                                            <a:off x="0" y="0"/>
                                            <a:ext cx="1422198" cy="155536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81D6F9A" id="_x0000_t202" coordsize="21600,21600" o:spt="202" path="m,l,21600r21600,l21600,xe">
                <v:stroke joinstyle="miter"/>
                <v:path gradientshapeok="t" o:connecttype="rect"/>
              </v:shapetype>
              <v:shape id="Text Box 2" o:spid="_x0000_s1026" type="#_x0000_t202" style="position:absolute;margin-left:-8pt;margin-top:-48pt;width:194.8pt;height:187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" stroked="f">
                <v:textbox>
                  <w:txbxContent>
                    <w:p w14:paraId="19D6755F" w14:textId="77777777" w:rsidR="00B86E2D" w:rsidRDefault="00B86E2D">
                      <w:r>
                        <w:rPr>
                          <w:noProof/>
                        </w:rPr>
                        <w:drawing>
                          <wp:inline distT="0" distB="0" distL="0" distR="0" wp14:anchorId="4FF8DB9E" wp14:editId="190E1078">
                            <wp:extent cx="1416741" cy="154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jpg"/>
                                    <pic:cNvPicPr/>
                                  </pic:nvPicPr>
                                  <pic:blipFill>
                                    <a:blip r:embed="rId11">
                                      <a:extLst>
                                        <a:ext uri="{28A0092B-C50C-407E-A947-70E740481C1C}">
                                          <a14:useLocalDpi xmlns:a14="http://schemas.microsoft.com/office/drawing/2010/main" val="0"/>
                                        </a:ext>
                                      </a:extLst>
                                    </a:blip>
                                    <a:stretch>
                                      <a:fillRect/>
                                    </a:stretch>
                                  </pic:blipFill>
                                  <pic:spPr>
                                    <a:xfrm>
                                      <a:off x="0" y="0"/>
                                      <a:ext cx="1422198" cy="1555368"/>
                                    </a:xfrm>
                                    <a:prstGeom prst="rect">
                                      <a:avLst/>
                                    </a:prstGeom>
                                  </pic:spPr>
                                </pic:pic>
                              </a:graphicData>
                            </a:graphic>
                          </wp:inline>
                        </w:drawing>
                      </w:r>
                    </w:p>
                  </w:txbxContent>
                </v:textbox>
              </v:shape>
            </w:pict>
          </mc:Fallback>
        </mc:AlternateContent>
      </w:r>
    </w:p>
    <w:p w14:paraId="05B442B1" w14:textId="77777777" w:rsidR="00DF5178" w:rsidRPr="008931A9" w:rsidRDefault="00DF5178" w:rsidP="00FB5089">
      <w:pPr>
        <w:spacing w:after="0" w:line="240" w:lineRule="auto"/>
        <w:rPr>
          <w:rFonts w:ascii="Arial" w:hAnsi="Arial" w:cs="Arial"/>
          <w:b/>
        </w:rPr>
      </w:pPr>
    </w:p>
    <w:p w14:paraId="6F6F2A1C" w14:textId="77777777" w:rsidR="00DF5178" w:rsidRPr="008931A9" w:rsidRDefault="00DF5178" w:rsidP="00FB5089">
      <w:pPr>
        <w:spacing w:after="0" w:line="240" w:lineRule="auto"/>
        <w:rPr>
          <w:rFonts w:ascii="Arial" w:hAnsi="Arial" w:cs="Arial"/>
          <w:b/>
        </w:rPr>
      </w:pPr>
    </w:p>
    <w:p w14:paraId="16AF5BA7" w14:textId="77777777" w:rsidR="00DF5178" w:rsidRPr="008931A9" w:rsidRDefault="00DF5178" w:rsidP="00FB5089">
      <w:pPr>
        <w:spacing w:after="0" w:line="240" w:lineRule="auto"/>
        <w:rPr>
          <w:rFonts w:ascii="Arial" w:hAnsi="Arial" w:cs="Arial"/>
          <w:b/>
        </w:rPr>
      </w:pPr>
    </w:p>
    <w:p w14:paraId="605BC34C" w14:textId="77777777" w:rsidR="00DF5178" w:rsidRPr="008931A9" w:rsidRDefault="00DF5178" w:rsidP="00FB5089">
      <w:pPr>
        <w:spacing w:after="0" w:line="240" w:lineRule="auto"/>
        <w:rPr>
          <w:rFonts w:ascii="Arial" w:hAnsi="Arial" w:cs="Arial"/>
          <w:b/>
        </w:rPr>
      </w:pPr>
    </w:p>
    <w:p w14:paraId="3B602C34" w14:textId="77777777" w:rsidR="00DF5178" w:rsidRPr="008931A9" w:rsidRDefault="00DF5178" w:rsidP="00FB5089">
      <w:pPr>
        <w:spacing w:after="0" w:line="240" w:lineRule="auto"/>
        <w:rPr>
          <w:rFonts w:ascii="Arial" w:hAnsi="Arial" w:cs="Arial"/>
          <w:b/>
        </w:rPr>
      </w:pPr>
    </w:p>
    <w:p w14:paraId="738C8873" w14:textId="77777777" w:rsidR="00DF5178" w:rsidRPr="008931A9" w:rsidRDefault="00DF5178" w:rsidP="00FB5089">
      <w:pPr>
        <w:spacing w:after="0" w:line="240" w:lineRule="auto"/>
        <w:rPr>
          <w:rFonts w:ascii="Arial" w:hAnsi="Arial" w:cs="Arial"/>
          <w:b/>
        </w:rPr>
      </w:pPr>
    </w:p>
    <w:p w14:paraId="715BA181" w14:textId="77777777" w:rsidR="00DF5178" w:rsidRPr="008931A9" w:rsidRDefault="00DF5178" w:rsidP="00FB5089">
      <w:pPr>
        <w:spacing w:after="0" w:line="240" w:lineRule="auto"/>
        <w:rPr>
          <w:rFonts w:ascii="Arial" w:hAnsi="Arial" w:cs="Arial"/>
          <w:b/>
        </w:rPr>
      </w:pPr>
    </w:p>
    <w:p w14:paraId="634FCA45" w14:textId="77777777" w:rsidR="00DF5178" w:rsidRPr="008931A9" w:rsidRDefault="00DF5178" w:rsidP="00FB5089">
      <w:pPr>
        <w:spacing w:after="0" w:line="240" w:lineRule="auto"/>
        <w:rPr>
          <w:rFonts w:ascii="Arial" w:hAnsi="Arial" w:cs="Arial"/>
          <w:b/>
        </w:rPr>
      </w:pPr>
    </w:p>
    <w:p w14:paraId="070FB560" w14:textId="77777777" w:rsidR="00DF5178" w:rsidRPr="008931A9" w:rsidRDefault="00DF5178" w:rsidP="00FB5089">
      <w:pPr>
        <w:spacing w:after="0" w:line="240" w:lineRule="auto"/>
        <w:rPr>
          <w:rFonts w:ascii="Arial" w:hAnsi="Arial" w:cs="Arial"/>
          <w:b/>
        </w:rPr>
      </w:pPr>
    </w:p>
    <w:p w14:paraId="00ADE478" w14:textId="77777777" w:rsidR="00DF5178" w:rsidRPr="008931A9" w:rsidRDefault="00DF5178" w:rsidP="00FB5089">
      <w:pPr>
        <w:spacing w:after="0" w:line="240" w:lineRule="auto"/>
        <w:rPr>
          <w:rFonts w:ascii="Arial" w:hAnsi="Arial" w:cs="Arial"/>
          <w:b/>
        </w:rPr>
      </w:pPr>
    </w:p>
    <w:p w14:paraId="2A2272BD" w14:textId="77777777" w:rsidR="00DF5178" w:rsidRPr="008931A9" w:rsidRDefault="00DF5178" w:rsidP="00FB5089">
      <w:pPr>
        <w:spacing w:after="0" w:line="240" w:lineRule="auto"/>
        <w:rPr>
          <w:rFonts w:ascii="Arial" w:hAnsi="Arial" w:cs="Arial"/>
          <w:b/>
        </w:rPr>
      </w:pPr>
    </w:p>
    <w:p w14:paraId="407CBAAB" w14:textId="77777777" w:rsidR="0068407E" w:rsidRDefault="0068407E">
      <w:pPr>
        <w:rPr>
          <w:rFonts w:ascii="Arial" w:hAnsi="Arial" w:cs="Arial"/>
          <w:b/>
          <w:color w:val="365F91"/>
          <w:sz w:val="120"/>
          <w:szCs w:val="120"/>
        </w:rPr>
      </w:pPr>
    </w:p>
    <w:p w14:paraId="2DC032C1" w14:textId="77777777" w:rsidR="0068407E" w:rsidRDefault="0068407E">
      <w:pPr>
        <w:rPr>
          <w:rFonts w:ascii="Arial" w:hAnsi="Arial" w:cs="Arial"/>
          <w:b/>
          <w:color w:val="365F91"/>
          <w:sz w:val="120"/>
          <w:szCs w:val="120"/>
        </w:rPr>
      </w:pPr>
    </w:p>
    <w:p w14:paraId="4787C230" w14:textId="77777777" w:rsidR="0068407E" w:rsidRDefault="0068407E">
      <w:pPr>
        <w:rPr>
          <w:rFonts w:ascii="Arial" w:hAnsi="Arial" w:cs="Arial"/>
          <w:b/>
          <w:color w:val="365F91"/>
          <w:sz w:val="120"/>
          <w:szCs w:val="120"/>
        </w:rPr>
      </w:pPr>
    </w:p>
    <w:p w14:paraId="140AFA29" w14:textId="77777777" w:rsidR="001D0BE1" w:rsidRDefault="001D0BE1">
      <w:pPr>
        <w:rPr>
          <w:rFonts w:ascii="Arial" w:hAnsi="Arial" w:cs="Arial"/>
          <w:b/>
          <w:color w:val="365F91"/>
          <w:sz w:val="120"/>
          <w:szCs w:val="120"/>
        </w:rPr>
      </w:pPr>
    </w:p>
    <w:p w14:paraId="507591A8" w14:textId="5FCB4460" w:rsidR="00336E56" w:rsidRDefault="00C051A3">
      <w:pPr>
        <w:rPr>
          <w:b/>
          <w:color w:val="365F91"/>
          <w:sz w:val="20"/>
          <w:szCs w:val="20"/>
        </w:rPr>
      </w:pPr>
      <w:r w:rsidRPr="00C051A3">
        <w:rPr>
          <w:rFonts w:ascii="Arial" w:hAnsi="Arial" w:cs="Arial"/>
          <w:b/>
          <w:color w:val="365F91"/>
          <w:sz w:val="120"/>
          <w:szCs w:val="120"/>
        </w:rPr>
        <w:t>Admissions</w:t>
      </w:r>
      <w:r w:rsidR="00BC786A" w:rsidRPr="00C051A3">
        <w:rPr>
          <w:rFonts w:ascii="Arial" w:hAnsi="Arial" w:cs="Arial"/>
          <w:b/>
          <w:color w:val="365F91"/>
          <w:sz w:val="120"/>
          <w:szCs w:val="120"/>
        </w:rPr>
        <w:t xml:space="preserve"> </w:t>
      </w:r>
      <w:r w:rsidR="00AF38A4" w:rsidRPr="00C051A3">
        <w:rPr>
          <w:rFonts w:ascii="Arial" w:hAnsi="Arial" w:cs="Arial"/>
          <w:b/>
          <w:color w:val="365F91"/>
          <w:sz w:val="120"/>
          <w:szCs w:val="120"/>
        </w:rPr>
        <w:t>Policy</w:t>
      </w:r>
      <w:r w:rsidRPr="00C051A3">
        <w:rPr>
          <w:rFonts w:ascii="Arial" w:hAnsi="Arial" w:cs="Arial"/>
          <w:b/>
          <w:color w:val="365F91"/>
          <w:sz w:val="120"/>
          <w:szCs w:val="120"/>
        </w:rPr>
        <w:t xml:space="preserve"> (16-19)</w:t>
      </w:r>
      <w:r w:rsidR="00336E56">
        <w:rPr>
          <w:b/>
          <w:color w:val="365F91"/>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tblGrid>
      <w:tr w:rsidR="005A54B3" w:rsidRPr="009D7A06" w14:paraId="179C7FD9" w14:textId="77777777" w:rsidTr="00647A59">
        <w:trPr>
          <w:trHeight w:val="616"/>
        </w:trPr>
        <w:tc>
          <w:tcPr>
            <w:tcW w:w="3114" w:type="dxa"/>
            <w:shd w:val="clear" w:color="auto" w:fill="auto"/>
            <w:vAlign w:val="center"/>
          </w:tcPr>
          <w:p w14:paraId="74589D94" w14:textId="77777777" w:rsidR="005A54B3" w:rsidRPr="009D7A06" w:rsidRDefault="005A54B3" w:rsidP="00FB5089">
            <w:pPr>
              <w:spacing w:after="0" w:line="240" w:lineRule="auto"/>
              <w:rPr>
                <w:rFonts w:ascii="Arial" w:eastAsia="Calibri" w:hAnsi="Arial" w:cs="Arial"/>
                <w:b/>
                <w:lang w:eastAsia="en-US"/>
              </w:rPr>
            </w:pPr>
            <w:r w:rsidRPr="009D7A06">
              <w:rPr>
                <w:rFonts w:ascii="Arial" w:eastAsia="Calibri" w:hAnsi="Arial" w:cs="Arial"/>
                <w:b/>
                <w:lang w:eastAsia="en-US"/>
              </w:rPr>
              <w:lastRenderedPageBreak/>
              <w:t>This policy applies to :</w:t>
            </w:r>
          </w:p>
        </w:tc>
        <w:tc>
          <w:tcPr>
            <w:tcW w:w="6662" w:type="dxa"/>
            <w:shd w:val="clear" w:color="auto" w:fill="auto"/>
            <w:vAlign w:val="center"/>
          </w:tcPr>
          <w:p w14:paraId="06A23373" w14:textId="77AC220D" w:rsidR="005A54B3" w:rsidRPr="009D7A06" w:rsidRDefault="00BC786A" w:rsidP="00BC786A">
            <w:pPr>
              <w:spacing w:after="0" w:line="240" w:lineRule="auto"/>
              <w:rPr>
                <w:rFonts w:ascii="Arial" w:eastAsia="Calibri" w:hAnsi="Arial" w:cs="Arial"/>
                <w:lang w:eastAsia="en-US"/>
              </w:rPr>
            </w:pPr>
            <w:r>
              <w:rPr>
                <w:rFonts w:ascii="Arial" w:eastAsia="Calibri" w:hAnsi="Arial" w:cs="Arial"/>
                <w:lang w:eastAsia="en-US"/>
              </w:rPr>
              <w:t>Students/Parents/Staff</w:t>
            </w:r>
          </w:p>
        </w:tc>
      </w:tr>
      <w:tr w:rsidR="00647A59" w:rsidRPr="009D7A06" w14:paraId="32596CD3" w14:textId="77777777" w:rsidTr="00647A59">
        <w:trPr>
          <w:trHeight w:val="616"/>
        </w:trPr>
        <w:tc>
          <w:tcPr>
            <w:tcW w:w="3114" w:type="dxa"/>
            <w:shd w:val="clear" w:color="auto" w:fill="auto"/>
            <w:vAlign w:val="center"/>
          </w:tcPr>
          <w:p w14:paraId="69E15CBB" w14:textId="77777777" w:rsidR="00647A59" w:rsidRPr="009D7A06" w:rsidRDefault="00647A59" w:rsidP="00FB5089">
            <w:pPr>
              <w:spacing w:after="0" w:line="240" w:lineRule="auto"/>
              <w:rPr>
                <w:rFonts w:ascii="Arial" w:eastAsia="Calibri" w:hAnsi="Arial" w:cs="Arial"/>
                <w:b/>
                <w:lang w:eastAsia="en-US"/>
              </w:rPr>
            </w:pPr>
            <w:r>
              <w:rPr>
                <w:rFonts w:ascii="Arial" w:eastAsia="Calibri" w:hAnsi="Arial" w:cs="Arial"/>
                <w:b/>
                <w:lang w:eastAsia="en-US"/>
              </w:rPr>
              <w:t>Author/Department:</w:t>
            </w:r>
          </w:p>
        </w:tc>
        <w:tc>
          <w:tcPr>
            <w:tcW w:w="6662" w:type="dxa"/>
            <w:shd w:val="clear" w:color="auto" w:fill="auto"/>
            <w:vAlign w:val="center"/>
          </w:tcPr>
          <w:p w14:paraId="05AF54EB" w14:textId="036422F6" w:rsidR="00647A59" w:rsidRDefault="001D0BE1" w:rsidP="00FB5089">
            <w:pPr>
              <w:spacing w:after="0" w:line="240" w:lineRule="auto"/>
              <w:rPr>
                <w:rFonts w:ascii="Arial" w:eastAsia="Calibri" w:hAnsi="Arial" w:cs="Arial"/>
                <w:lang w:eastAsia="en-US"/>
              </w:rPr>
            </w:pPr>
            <w:r>
              <w:rPr>
                <w:rFonts w:ascii="Arial" w:eastAsia="Calibri" w:hAnsi="Arial" w:cs="Arial"/>
                <w:lang w:eastAsia="en-US"/>
              </w:rPr>
              <w:t>Student Recruitment Manager</w:t>
            </w:r>
          </w:p>
        </w:tc>
      </w:tr>
      <w:tr w:rsidR="005A54B3" w:rsidRPr="009D7A06" w14:paraId="6054785D" w14:textId="77777777" w:rsidTr="00647A59">
        <w:trPr>
          <w:trHeight w:val="616"/>
        </w:trPr>
        <w:tc>
          <w:tcPr>
            <w:tcW w:w="3114" w:type="dxa"/>
            <w:shd w:val="clear" w:color="auto" w:fill="auto"/>
            <w:vAlign w:val="center"/>
          </w:tcPr>
          <w:p w14:paraId="2BB0AFFF" w14:textId="77777777" w:rsidR="005A54B3" w:rsidRPr="009D7A06" w:rsidRDefault="005A54B3" w:rsidP="00FB5089">
            <w:pPr>
              <w:spacing w:after="0" w:line="240" w:lineRule="auto"/>
              <w:rPr>
                <w:rFonts w:ascii="Arial" w:eastAsia="Calibri" w:hAnsi="Arial" w:cs="Arial"/>
                <w:b/>
                <w:lang w:eastAsia="en-US"/>
              </w:rPr>
            </w:pPr>
            <w:r w:rsidRPr="009D7A06">
              <w:rPr>
                <w:rFonts w:ascii="Arial" w:eastAsia="Calibri" w:hAnsi="Arial" w:cs="Arial"/>
                <w:b/>
                <w:lang w:eastAsia="en-US"/>
              </w:rPr>
              <w:t>Area/Person responsible:</w:t>
            </w:r>
          </w:p>
        </w:tc>
        <w:tc>
          <w:tcPr>
            <w:tcW w:w="6662" w:type="dxa"/>
            <w:shd w:val="clear" w:color="auto" w:fill="auto"/>
            <w:vAlign w:val="center"/>
          </w:tcPr>
          <w:p w14:paraId="345C9F35" w14:textId="6F38E9DE" w:rsidR="005A54B3" w:rsidRPr="009D7A06" w:rsidRDefault="001D0BE1" w:rsidP="00FB5089">
            <w:pPr>
              <w:spacing w:after="0" w:line="240" w:lineRule="auto"/>
              <w:rPr>
                <w:rFonts w:ascii="Arial" w:eastAsia="Calibri" w:hAnsi="Arial" w:cs="Arial"/>
                <w:lang w:eastAsia="en-US"/>
              </w:rPr>
            </w:pPr>
            <w:r>
              <w:rPr>
                <w:rFonts w:ascii="Arial" w:eastAsia="Calibri" w:hAnsi="Arial" w:cs="Arial"/>
                <w:lang w:eastAsia="en-US"/>
              </w:rPr>
              <w:t>Vice Principal: Achievement &amp; Quality</w:t>
            </w:r>
          </w:p>
        </w:tc>
      </w:tr>
      <w:tr w:rsidR="005A54B3" w:rsidRPr="009D7A06" w14:paraId="482BE744" w14:textId="77777777" w:rsidTr="00647A59">
        <w:trPr>
          <w:trHeight w:val="616"/>
        </w:trPr>
        <w:tc>
          <w:tcPr>
            <w:tcW w:w="3114" w:type="dxa"/>
            <w:shd w:val="clear" w:color="auto" w:fill="auto"/>
            <w:vAlign w:val="center"/>
          </w:tcPr>
          <w:p w14:paraId="239A65E6" w14:textId="77777777" w:rsidR="005A54B3" w:rsidRPr="009D7A06" w:rsidRDefault="005A54B3" w:rsidP="00FB5089">
            <w:pPr>
              <w:spacing w:after="0" w:line="240" w:lineRule="auto"/>
              <w:rPr>
                <w:rFonts w:ascii="Arial" w:eastAsia="Calibri" w:hAnsi="Arial" w:cs="Arial"/>
                <w:b/>
                <w:lang w:eastAsia="en-US"/>
              </w:rPr>
            </w:pPr>
            <w:r w:rsidRPr="009D7A06">
              <w:rPr>
                <w:rFonts w:ascii="Arial" w:eastAsia="Calibri" w:hAnsi="Arial" w:cs="Arial"/>
                <w:b/>
                <w:lang w:eastAsia="en-US"/>
              </w:rPr>
              <w:t>Date approved:</w:t>
            </w:r>
          </w:p>
        </w:tc>
        <w:tc>
          <w:tcPr>
            <w:tcW w:w="6662" w:type="dxa"/>
            <w:shd w:val="clear" w:color="auto" w:fill="auto"/>
            <w:vAlign w:val="center"/>
          </w:tcPr>
          <w:p w14:paraId="7543E16C" w14:textId="6635C758" w:rsidR="005A54B3" w:rsidRPr="009D7A06" w:rsidRDefault="00483CAD" w:rsidP="00FB5089">
            <w:pPr>
              <w:spacing w:after="0" w:line="240" w:lineRule="auto"/>
              <w:rPr>
                <w:rFonts w:ascii="Arial" w:eastAsia="Calibri" w:hAnsi="Arial" w:cs="Arial"/>
                <w:lang w:eastAsia="en-US"/>
              </w:rPr>
            </w:pPr>
            <w:r>
              <w:rPr>
                <w:rFonts w:ascii="Arial" w:eastAsia="Calibri" w:hAnsi="Arial" w:cs="Arial"/>
                <w:lang w:eastAsia="en-US"/>
              </w:rPr>
              <w:t>3/10/24</w:t>
            </w:r>
          </w:p>
        </w:tc>
      </w:tr>
      <w:tr w:rsidR="00FB5089" w:rsidRPr="009D7A06" w14:paraId="290B8F94" w14:textId="77777777" w:rsidTr="00647A59">
        <w:trPr>
          <w:trHeight w:val="564"/>
        </w:trPr>
        <w:tc>
          <w:tcPr>
            <w:tcW w:w="3114" w:type="dxa"/>
            <w:shd w:val="clear" w:color="auto" w:fill="auto"/>
            <w:vAlign w:val="center"/>
          </w:tcPr>
          <w:p w14:paraId="5753FF6E" w14:textId="77777777" w:rsidR="00FB5089" w:rsidRPr="009D7A06" w:rsidRDefault="00FB5089" w:rsidP="00FB5089">
            <w:pPr>
              <w:spacing w:after="0" w:line="240" w:lineRule="auto"/>
              <w:rPr>
                <w:rFonts w:ascii="Arial" w:eastAsia="Calibri" w:hAnsi="Arial" w:cs="Arial"/>
                <w:b/>
                <w:lang w:eastAsia="en-US"/>
              </w:rPr>
            </w:pPr>
            <w:r w:rsidRPr="009D7A06">
              <w:rPr>
                <w:rFonts w:ascii="Arial" w:eastAsia="Calibri" w:hAnsi="Arial" w:cs="Arial"/>
                <w:b/>
                <w:lang w:eastAsia="en-US"/>
              </w:rPr>
              <w:t>Related Documents/ Policies:</w:t>
            </w:r>
          </w:p>
        </w:tc>
        <w:tc>
          <w:tcPr>
            <w:tcW w:w="6662" w:type="dxa"/>
            <w:shd w:val="clear" w:color="auto" w:fill="auto"/>
            <w:vAlign w:val="center"/>
          </w:tcPr>
          <w:p w14:paraId="4C7B1619" w14:textId="58473213" w:rsidR="00FB5089" w:rsidRPr="009D7A06" w:rsidRDefault="00C051A3" w:rsidP="006D4E94">
            <w:pPr>
              <w:spacing w:after="0" w:line="240" w:lineRule="auto"/>
              <w:rPr>
                <w:rFonts w:ascii="Arial" w:eastAsia="Calibri" w:hAnsi="Arial" w:cs="Arial"/>
                <w:lang w:eastAsia="en-US"/>
              </w:rPr>
            </w:pPr>
            <w:r>
              <w:rPr>
                <w:rFonts w:ascii="Arial" w:eastAsia="Calibri" w:hAnsi="Arial" w:cs="Arial"/>
                <w:lang w:eastAsia="en-US"/>
              </w:rPr>
              <w:t>Admissions Procedures (16-19)</w:t>
            </w:r>
          </w:p>
        </w:tc>
      </w:tr>
      <w:tr w:rsidR="00647A59" w:rsidRPr="009D7A06" w14:paraId="629CDA56" w14:textId="77777777" w:rsidTr="00647A59">
        <w:trPr>
          <w:trHeight w:val="564"/>
        </w:trPr>
        <w:tc>
          <w:tcPr>
            <w:tcW w:w="3114" w:type="dxa"/>
            <w:shd w:val="clear" w:color="auto" w:fill="auto"/>
            <w:vAlign w:val="center"/>
          </w:tcPr>
          <w:p w14:paraId="3B8FFA15" w14:textId="77777777" w:rsidR="00647A59" w:rsidRPr="009D7A06" w:rsidRDefault="00647A59" w:rsidP="00FB5089">
            <w:pPr>
              <w:spacing w:after="0" w:line="240" w:lineRule="auto"/>
              <w:rPr>
                <w:rFonts w:ascii="Arial" w:eastAsia="Calibri" w:hAnsi="Arial" w:cs="Arial"/>
                <w:b/>
                <w:lang w:eastAsia="en-US"/>
              </w:rPr>
            </w:pPr>
            <w:r>
              <w:rPr>
                <w:rFonts w:ascii="Arial" w:eastAsia="Calibri" w:hAnsi="Arial" w:cs="Arial"/>
                <w:b/>
                <w:lang w:eastAsia="en-US"/>
              </w:rPr>
              <w:t>Date of Next Review:</w:t>
            </w:r>
          </w:p>
        </w:tc>
        <w:tc>
          <w:tcPr>
            <w:tcW w:w="6662" w:type="dxa"/>
            <w:shd w:val="clear" w:color="auto" w:fill="auto"/>
            <w:vAlign w:val="center"/>
          </w:tcPr>
          <w:p w14:paraId="1D79BEE3" w14:textId="41FB670F" w:rsidR="00647A59" w:rsidRDefault="00C94D37" w:rsidP="00FB5089">
            <w:pPr>
              <w:spacing w:after="0" w:line="240" w:lineRule="auto"/>
              <w:rPr>
                <w:rFonts w:ascii="Arial" w:eastAsia="Calibri" w:hAnsi="Arial" w:cs="Arial"/>
                <w:lang w:eastAsia="en-US"/>
              </w:rPr>
            </w:pPr>
            <w:r>
              <w:rPr>
                <w:rFonts w:ascii="Arial" w:eastAsia="Calibri" w:hAnsi="Arial" w:cs="Arial"/>
                <w:lang w:eastAsia="en-US"/>
              </w:rPr>
              <w:t xml:space="preserve">Sept </w:t>
            </w:r>
            <w:r w:rsidR="001D0BE1">
              <w:rPr>
                <w:rFonts w:ascii="Arial" w:eastAsia="Calibri" w:hAnsi="Arial" w:cs="Arial"/>
                <w:lang w:eastAsia="en-US"/>
              </w:rPr>
              <w:t>2026</w:t>
            </w:r>
          </w:p>
        </w:tc>
      </w:tr>
    </w:tbl>
    <w:p w14:paraId="36710736" w14:textId="77777777" w:rsidR="005A54B3" w:rsidRPr="009D7A06" w:rsidRDefault="005A54B3" w:rsidP="00FB5089">
      <w:pPr>
        <w:spacing w:after="0" w:line="240" w:lineRule="auto"/>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tblGrid>
      <w:tr w:rsidR="005A54B3" w:rsidRPr="009D7A06" w14:paraId="5176304D" w14:textId="77777777" w:rsidTr="00647A59">
        <w:trPr>
          <w:trHeight w:val="679"/>
        </w:trPr>
        <w:tc>
          <w:tcPr>
            <w:tcW w:w="3114" w:type="dxa"/>
            <w:shd w:val="clear" w:color="auto" w:fill="auto"/>
            <w:vAlign w:val="center"/>
          </w:tcPr>
          <w:p w14:paraId="292E60A9" w14:textId="77777777" w:rsidR="005A54B3" w:rsidRPr="009D7A06" w:rsidRDefault="005A54B3" w:rsidP="00FB5089">
            <w:pPr>
              <w:spacing w:after="0" w:line="240" w:lineRule="auto"/>
              <w:rPr>
                <w:rFonts w:ascii="Arial" w:eastAsia="Calibri" w:hAnsi="Arial" w:cs="Arial"/>
                <w:b/>
                <w:lang w:eastAsia="en-US"/>
              </w:rPr>
            </w:pPr>
            <w:r w:rsidRPr="009D7A06">
              <w:rPr>
                <w:rFonts w:ascii="Arial" w:eastAsia="Calibri" w:hAnsi="Arial" w:cs="Arial"/>
                <w:b/>
                <w:lang w:eastAsia="en-US"/>
              </w:rPr>
              <w:t>Date of most recent review:</w:t>
            </w:r>
          </w:p>
        </w:tc>
        <w:tc>
          <w:tcPr>
            <w:tcW w:w="6662" w:type="dxa"/>
            <w:shd w:val="clear" w:color="auto" w:fill="auto"/>
            <w:vAlign w:val="center"/>
          </w:tcPr>
          <w:p w14:paraId="733EF627" w14:textId="49E3C9F8" w:rsidR="005A54B3" w:rsidRPr="009D7A06" w:rsidRDefault="001D0BE1" w:rsidP="00FB5089">
            <w:pPr>
              <w:spacing w:after="0" w:line="240" w:lineRule="auto"/>
              <w:rPr>
                <w:rFonts w:ascii="Arial" w:eastAsia="Calibri" w:hAnsi="Arial" w:cs="Arial"/>
                <w:lang w:eastAsia="en-US"/>
              </w:rPr>
            </w:pPr>
            <w:r>
              <w:rPr>
                <w:rFonts w:ascii="Arial" w:eastAsia="Calibri" w:hAnsi="Arial" w:cs="Arial"/>
                <w:lang w:eastAsia="en-US"/>
              </w:rPr>
              <w:t>October 202</w:t>
            </w:r>
            <w:r w:rsidR="00574011">
              <w:rPr>
                <w:rFonts w:ascii="Arial" w:eastAsia="Calibri" w:hAnsi="Arial" w:cs="Arial"/>
                <w:lang w:eastAsia="en-US"/>
              </w:rPr>
              <w:t>5</w:t>
            </w:r>
          </w:p>
        </w:tc>
      </w:tr>
      <w:tr w:rsidR="005A54B3" w:rsidRPr="009D7A06" w14:paraId="5DAAF6D0" w14:textId="77777777" w:rsidTr="00647A59">
        <w:trPr>
          <w:trHeight w:val="1112"/>
        </w:trPr>
        <w:tc>
          <w:tcPr>
            <w:tcW w:w="3114" w:type="dxa"/>
            <w:shd w:val="clear" w:color="auto" w:fill="auto"/>
            <w:vAlign w:val="center"/>
          </w:tcPr>
          <w:p w14:paraId="3E27D6CF" w14:textId="77777777" w:rsidR="005A54B3" w:rsidRPr="009D7A06" w:rsidRDefault="005A54B3" w:rsidP="00FB5089">
            <w:pPr>
              <w:spacing w:after="0" w:line="240" w:lineRule="auto"/>
              <w:rPr>
                <w:rFonts w:ascii="Arial" w:eastAsia="Calibri" w:hAnsi="Arial" w:cs="Arial"/>
                <w:b/>
                <w:lang w:eastAsia="en-US"/>
              </w:rPr>
            </w:pPr>
            <w:r w:rsidRPr="009D7A06">
              <w:rPr>
                <w:rFonts w:ascii="Arial" w:eastAsia="Calibri" w:hAnsi="Arial" w:cs="Arial"/>
                <w:b/>
                <w:lang w:eastAsia="en-US"/>
              </w:rPr>
              <w:t>Changes made:</w:t>
            </w:r>
          </w:p>
        </w:tc>
        <w:tc>
          <w:tcPr>
            <w:tcW w:w="6662" w:type="dxa"/>
            <w:shd w:val="clear" w:color="auto" w:fill="auto"/>
            <w:vAlign w:val="center"/>
          </w:tcPr>
          <w:p w14:paraId="0439BF61" w14:textId="6DF739D8" w:rsidR="00483CAD" w:rsidRPr="00483CAD" w:rsidRDefault="006F5C15" w:rsidP="00574011">
            <w:pPr>
              <w:spacing w:after="0" w:line="240" w:lineRule="auto"/>
              <w:rPr>
                <w:rFonts w:ascii="Arial" w:eastAsia="Calibri" w:hAnsi="Arial" w:cs="Arial"/>
                <w:lang w:eastAsia="en-US"/>
              </w:rPr>
            </w:pPr>
            <w:r>
              <w:rPr>
                <w:rFonts w:ascii="Arial" w:eastAsia="Calibri" w:hAnsi="Arial" w:cs="Arial"/>
                <w:lang w:eastAsia="en-US"/>
              </w:rPr>
              <w:t>Inclusion of text to clarify admissions offers and exceptional circumstances</w:t>
            </w:r>
            <w:r w:rsidR="000C30FF">
              <w:rPr>
                <w:rFonts w:ascii="Arial" w:eastAsia="Calibri" w:hAnsi="Arial" w:cs="Arial"/>
                <w:lang w:eastAsia="en-US"/>
              </w:rPr>
              <w:t>. Merging of two documents (Admissions policy and Admissions procedures) in to one document.</w:t>
            </w:r>
          </w:p>
          <w:p w14:paraId="19689F10" w14:textId="6A7F4143" w:rsidR="00483CAD" w:rsidRPr="009D7A06" w:rsidRDefault="00483CAD" w:rsidP="00FB5089">
            <w:pPr>
              <w:spacing w:after="0" w:line="240" w:lineRule="auto"/>
              <w:rPr>
                <w:rFonts w:ascii="Arial" w:eastAsia="Calibri" w:hAnsi="Arial" w:cs="Arial"/>
                <w:lang w:eastAsia="en-US"/>
              </w:rPr>
            </w:pPr>
          </w:p>
        </w:tc>
      </w:tr>
    </w:tbl>
    <w:p w14:paraId="02CB66C7" w14:textId="77777777" w:rsidR="005A54B3" w:rsidRDefault="005A54B3" w:rsidP="00FB5089">
      <w:pPr>
        <w:spacing w:after="0" w:line="240" w:lineRule="auto"/>
        <w:rPr>
          <w:rFonts w:ascii="Arial" w:hAnsi="Arial" w:cs="Arial"/>
        </w:rPr>
      </w:pPr>
    </w:p>
    <w:p w14:paraId="39544E27" w14:textId="77777777" w:rsidR="00336E56" w:rsidRDefault="00336E56" w:rsidP="00336E56">
      <w:pPr>
        <w:spacing w:after="0" w:line="240" w:lineRule="auto"/>
        <w:rPr>
          <w:rFonts w:ascii="Arial" w:hAnsi="Arial" w:cs="Arial"/>
          <w:b/>
        </w:rPr>
      </w:pPr>
      <w:r>
        <w:rPr>
          <w:rFonts w:ascii="Arial" w:hAnsi="Arial" w:cs="Arial"/>
          <w:b/>
        </w:rPr>
        <w:t>The Equality Act 2010: The Equality Duty</w:t>
      </w:r>
    </w:p>
    <w:p w14:paraId="7247089B" w14:textId="77777777" w:rsidR="00336E56" w:rsidRDefault="00336E56" w:rsidP="00336E56">
      <w:pPr>
        <w:spacing w:after="0" w:line="240" w:lineRule="auto"/>
        <w:rPr>
          <w:rFonts w:ascii="Arial" w:hAnsi="Arial" w:cs="Arial"/>
          <w:b/>
        </w:rPr>
      </w:pPr>
    </w:p>
    <w:p w14:paraId="2A22055E" w14:textId="77777777" w:rsidR="00336E56" w:rsidRDefault="00336E56" w:rsidP="00336E56">
      <w:pPr>
        <w:spacing w:after="0" w:line="240" w:lineRule="auto"/>
        <w:rPr>
          <w:rFonts w:ascii="Arial" w:hAnsi="Arial" w:cs="Arial"/>
          <w:bCs/>
        </w:rPr>
      </w:pPr>
      <w:r>
        <w:rPr>
          <w:rFonts w:ascii="Arial" w:hAnsi="Arial" w:cs="Arial"/>
          <w:bCs/>
        </w:rPr>
        <w:t>The College has a duty to consider the needs of all individuals in our day-to-day work – in shaping policy, in delivering services and in relation to our employees.  The Equality Duty has three aims, which require the College to have due regard to the need to:</w:t>
      </w:r>
    </w:p>
    <w:p w14:paraId="76349FB7" w14:textId="77777777" w:rsidR="00336E56" w:rsidRDefault="00336E56" w:rsidP="00336E56">
      <w:pPr>
        <w:spacing w:after="0" w:line="240" w:lineRule="auto"/>
        <w:rPr>
          <w:rFonts w:ascii="Arial" w:hAnsi="Arial" w:cs="Arial"/>
          <w:bCs/>
        </w:rPr>
      </w:pPr>
    </w:p>
    <w:p w14:paraId="5BE03500" w14:textId="77777777" w:rsidR="00336E56" w:rsidRDefault="00336E56" w:rsidP="00336E56">
      <w:pPr>
        <w:pStyle w:val="ListParagraph"/>
        <w:numPr>
          <w:ilvl w:val="0"/>
          <w:numId w:val="35"/>
        </w:numPr>
        <w:spacing w:after="0" w:line="240" w:lineRule="auto"/>
        <w:rPr>
          <w:rFonts w:ascii="Arial" w:hAnsi="Arial" w:cs="Arial"/>
          <w:bCs/>
        </w:rPr>
      </w:pPr>
      <w:r>
        <w:rPr>
          <w:rFonts w:ascii="Arial" w:hAnsi="Arial" w:cs="Arial"/>
          <w:b/>
          <w:bCs/>
        </w:rPr>
        <w:t>Eliminate unlawful discrimination</w:t>
      </w:r>
      <w:r>
        <w:rPr>
          <w:rFonts w:ascii="Arial" w:hAnsi="Arial" w:cs="Arial"/>
          <w:bCs/>
        </w:rPr>
        <w:t>, harassment, victimisation and any other conduct prohibited by the Act;</w:t>
      </w:r>
    </w:p>
    <w:p w14:paraId="435E3537" w14:textId="77777777" w:rsidR="00336E56" w:rsidRDefault="00336E56" w:rsidP="00336E56">
      <w:pPr>
        <w:pStyle w:val="ListParagraph"/>
        <w:numPr>
          <w:ilvl w:val="0"/>
          <w:numId w:val="35"/>
        </w:numPr>
        <w:spacing w:after="0" w:line="240" w:lineRule="auto"/>
        <w:rPr>
          <w:rFonts w:ascii="Arial" w:hAnsi="Arial" w:cs="Arial"/>
          <w:bCs/>
        </w:rPr>
      </w:pPr>
      <w:r>
        <w:rPr>
          <w:rFonts w:ascii="Arial" w:hAnsi="Arial" w:cs="Arial"/>
          <w:b/>
          <w:bCs/>
        </w:rPr>
        <w:t>Advance equality of opportunity</w:t>
      </w:r>
      <w:r>
        <w:rPr>
          <w:rFonts w:ascii="Arial" w:hAnsi="Arial" w:cs="Arial"/>
          <w:bCs/>
        </w:rPr>
        <w:t xml:space="preserve"> between people who share a protected characteristic and people who do not share it; and</w:t>
      </w:r>
    </w:p>
    <w:p w14:paraId="102C4E42" w14:textId="77777777" w:rsidR="00336E56" w:rsidRDefault="00336E56" w:rsidP="00336E56">
      <w:pPr>
        <w:pStyle w:val="ListParagraph"/>
        <w:numPr>
          <w:ilvl w:val="0"/>
          <w:numId w:val="35"/>
        </w:numPr>
        <w:spacing w:after="0" w:line="240" w:lineRule="auto"/>
        <w:rPr>
          <w:rFonts w:ascii="Arial" w:hAnsi="Arial" w:cs="Arial"/>
          <w:bCs/>
        </w:rPr>
      </w:pPr>
      <w:r>
        <w:rPr>
          <w:rFonts w:ascii="Arial" w:hAnsi="Arial" w:cs="Arial"/>
          <w:b/>
          <w:bCs/>
        </w:rPr>
        <w:t>Foster good relations</w:t>
      </w:r>
      <w:r>
        <w:rPr>
          <w:rFonts w:ascii="Arial" w:hAnsi="Arial" w:cs="Arial"/>
          <w:bCs/>
        </w:rPr>
        <w:t xml:space="preserve"> between people who share a protected characteristic and people who do not share it.</w:t>
      </w:r>
    </w:p>
    <w:p w14:paraId="0EC2F433" w14:textId="77777777" w:rsidR="00336E56" w:rsidRDefault="00336E56" w:rsidP="00336E56">
      <w:pPr>
        <w:spacing w:after="0" w:line="240" w:lineRule="auto"/>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704"/>
        <w:gridCol w:w="708"/>
        <w:gridCol w:w="736"/>
        <w:gridCol w:w="709"/>
        <w:gridCol w:w="709"/>
        <w:gridCol w:w="709"/>
        <w:gridCol w:w="851"/>
      </w:tblGrid>
      <w:tr w:rsidR="006C6A20" w14:paraId="3C8D2941" w14:textId="77777777" w:rsidTr="006C6A20">
        <w:trPr>
          <w:trHeight w:val="679"/>
        </w:trPr>
        <w:tc>
          <w:tcPr>
            <w:tcW w:w="5354" w:type="dxa"/>
            <w:gridSpan w:val="2"/>
            <w:tcBorders>
              <w:top w:val="single" w:sz="4" w:space="0" w:color="auto"/>
              <w:left w:val="single" w:sz="4" w:space="0" w:color="auto"/>
              <w:bottom w:val="single" w:sz="4" w:space="0" w:color="auto"/>
              <w:right w:val="single" w:sz="4" w:space="0" w:color="auto"/>
            </w:tcBorders>
            <w:vAlign w:val="center"/>
            <w:hideMark/>
          </w:tcPr>
          <w:p w14:paraId="19C38C9E" w14:textId="77777777" w:rsidR="006C6A20" w:rsidRDefault="006C6A20">
            <w:pPr>
              <w:spacing w:after="0" w:line="240" w:lineRule="auto"/>
              <w:rPr>
                <w:rFonts w:ascii="Arial" w:eastAsia="Calibri" w:hAnsi="Arial" w:cs="Arial"/>
                <w:b/>
                <w:lang w:eastAsia="en-US"/>
              </w:rPr>
            </w:pPr>
            <w:r>
              <w:rPr>
                <w:rFonts w:ascii="Arial" w:eastAsia="Calibri" w:hAnsi="Arial" w:cs="Arial"/>
                <w:b/>
                <w:lang w:eastAsia="en-US"/>
              </w:rPr>
              <w:t>Does the policy promote the aims of the Equality Duty?</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F65440" w14:textId="77777777" w:rsidR="006C6A20" w:rsidRDefault="006C6A20">
            <w:pPr>
              <w:spacing w:after="0" w:line="240" w:lineRule="auto"/>
              <w:rPr>
                <w:rFonts w:ascii="Arial" w:eastAsia="Calibri" w:hAnsi="Arial" w:cs="Arial"/>
                <w:b/>
                <w:lang w:eastAsia="en-US"/>
              </w:rPr>
            </w:pPr>
            <w:r>
              <w:rPr>
                <w:rFonts w:ascii="Arial" w:eastAsia="Calibri" w:hAnsi="Arial" w:cs="Arial"/>
                <w:b/>
                <w:lang w:eastAsia="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0B06B2" w14:textId="77777777" w:rsidR="006C6A20" w:rsidRDefault="006C6A20">
            <w:pPr>
              <w:spacing w:after="0" w:line="240" w:lineRule="auto"/>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80CC6C9" w14:textId="77777777" w:rsidR="006C6A20" w:rsidRDefault="006C6A20">
            <w:pPr>
              <w:spacing w:after="0" w:line="240" w:lineRule="auto"/>
              <w:rPr>
                <w:rFonts w:ascii="Arial" w:eastAsia="Calibri" w:hAnsi="Arial" w:cs="Arial"/>
                <w:b/>
                <w:lang w:eastAsia="en-US"/>
              </w:rPr>
            </w:pPr>
            <w:r>
              <w:rPr>
                <w:rFonts w:ascii="Arial" w:eastAsia="Calibri" w:hAnsi="Arial" w:cs="Arial"/>
                <w:b/>
                <w:lang w:eastAsia="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5D32EB0E" w14:textId="77777777" w:rsidR="006C6A20" w:rsidRDefault="006C6A20">
            <w:pPr>
              <w:spacing w:after="0" w:line="240" w:lineRule="auto"/>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570505B" w14:textId="77777777" w:rsidR="006C6A20" w:rsidRDefault="006C6A20">
            <w:pPr>
              <w:spacing w:after="0" w:line="240" w:lineRule="auto"/>
              <w:rPr>
                <w:rFonts w:ascii="Arial" w:eastAsia="Calibri" w:hAnsi="Arial" w:cs="Arial"/>
                <w:b/>
                <w:lang w:eastAsia="en-US"/>
              </w:rPr>
            </w:pPr>
            <w:r>
              <w:rPr>
                <w:rFonts w:ascii="Arial" w:eastAsia="Calibri" w:hAnsi="Arial" w:cs="Arial"/>
                <w:b/>
                <w:lang w:eastAsia="en-US"/>
              </w:rPr>
              <w:t>N/A</w:t>
            </w:r>
          </w:p>
        </w:tc>
        <w:tc>
          <w:tcPr>
            <w:tcW w:w="851" w:type="dxa"/>
            <w:tcBorders>
              <w:top w:val="single" w:sz="4" w:space="0" w:color="auto"/>
              <w:left w:val="single" w:sz="4" w:space="0" w:color="auto"/>
              <w:bottom w:val="single" w:sz="4" w:space="0" w:color="auto"/>
              <w:right w:val="single" w:sz="4" w:space="0" w:color="auto"/>
            </w:tcBorders>
            <w:vAlign w:val="center"/>
          </w:tcPr>
          <w:p w14:paraId="40C7657C" w14:textId="77777777" w:rsidR="006C6A20" w:rsidRDefault="006C6A20">
            <w:pPr>
              <w:spacing w:after="0" w:line="240" w:lineRule="auto"/>
              <w:rPr>
                <w:rFonts w:ascii="Arial" w:eastAsia="Calibri" w:hAnsi="Arial" w:cs="Arial"/>
                <w:lang w:eastAsia="en-US"/>
              </w:rPr>
            </w:pPr>
          </w:p>
        </w:tc>
      </w:tr>
      <w:tr w:rsidR="006C6A20" w14:paraId="49C8D525" w14:textId="77777777" w:rsidTr="006C6A20">
        <w:trPr>
          <w:trHeight w:val="1437"/>
        </w:trPr>
        <w:tc>
          <w:tcPr>
            <w:tcW w:w="4650" w:type="dxa"/>
            <w:tcBorders>
              <w:top w:val="single" w:sz="4" w:space="0" w:color="auto"/>
              <w:left w:val="single" w:sz="4" w:space="0" w:color="auto"/>
              <w:bottom w:val="single" w:sz="4" w:space="0" w:color="auto"/>
              <w:right w:val="single" w:sz="4" w:space="0" w:color="auto"/>
            </w:tcBorders>
            <w:vAlign w:val="center"/>
            <w:hideMark/>
          </w:tcPr>
          <w:p w14:paraId="0E7468F9" w14:textId="77777777" w:rsidR="006C6A20" w:rsidRDefault="006C6A20">
            <w:pPr>
              <w:spacing w:after="0" w:line="240" w:lineRule="auto"/>
              <w:rPr>
                <w:rFonts w:ascii="Arial" w:eastAsia="Calibri" w:hAnsi="Arial" w:cs="Arial"/>
                <w:b/>
                <w:lang w:eastAsia="en-US"/>
              </w:rPr>
            </w:pPr>
            <w:r>
              <w:rPr>
                <w:rFonts w:ascii="Arial" w:eastAsia="Calibri" w:hAnsi="Arial" w:cs="Arial"/>
                <w:b/>
                <w:lang w:eastAsia="en-US"/>
              </w:rPr>
              <w:t xml:space="preserve">If no, please state which groups may be affected and complete a full equalities impact assessment </w:t>
            </w:r>
          </w:p>
          <w:p w14:paraId="22EBE170" w14:textId="77777777" w:rsidR="006C6A20" w:rsidRDefault="006C6A20">
            <w:pPr>
              <w:spacing w:after="0" w:line="240" w:lineRule="auto"/>
              <w:rPr>
                <w:rFonts w:ascii="Arial" w:eastAsia="Calibri" w:hAnsi="Arial" w:cs="Arial"/>
                <w:b/>
                <w:lang w:eastAsia="en-US"/>
              </w:rPr>
            </w:pPr>
            <w:r>
              <w:rPr>
                <w:rFonts w:ascii="Arial" w:eastAsia="Calibri" w:hAnsi="Arial" w:cs="Arial"/>
                <w:lang w:eastAsia="en-US"/>
              </w:rPr>
              <w:t>(guidance and forms available on the intranet)</w:t>
            </w:r>
          </w:p>
        </w:tc>
        <w:tc>
          <w:tcPr>
            <w:tcW w:w="5126" w:type="dxa"/>
            <w:gridSpan w:val="7"/>
            <w:tcBorders>
              <w:top w:val="single" w:sz="4" w:space="0" w:color="auto"/>
              <w:left w:val="single" w:sz="4" w:space="0" w:color="auto"/>
              <w:bottom w:val="single" w:sz="4" w:space="0" w:color="auto"/>
              <w:right w:val="single" w:sz="4" w:space="0" w:color="auto"/>
            </w:tcBorders>
            <w:vAlign w:val="center"/>
          </w:tcPr>
          <w:p w14:paraId="4E345C61" w14:textId="77777777" w:rsidR="006C6A20" w:rsidRDefault="006C6A20">
            <w:pPr>
              <w:spacing w:after="0" w:line="240" w:lineRule="auto"/>
              <w:rPr>
                <w:rFonts w:ascii="Arial" w:eastAsia="Calibri" w:hAnsi="Arial" w:cs="Arial"/>
                <w:lang w:eastAsia="en-US"/>
              </w:rPr>
            </w:pPr>
          </w:p>
        </w:tc>
      </w:tr>
      <w:tr w:rsidR="006C6A20" w14:paraId="5182476A" w14:textId="77777777" w:rsidTr="006C6A20">
        <w:trPr>
          <w:trHeight w:val="695"/>
        </w:trPr>
        <w:tc>
          <w:tcPr>
            <w:tcW w:w="4650" w:type="dxa"/>
            <w:tcBorders>
              <w:top w:val="single" w:sz="4" w:space="0" w:color="auto"/>
              <w:left w:val="single" w:sz="4" w:space="0" w:color="auto"/>
              <w:bottom w:val="single" w:sz="4" w:space="0" w:color="auto"/>
              <w:right w:val="single" w:sz="4" w:space="0" w:color="auto"/>
            </w:tcBorders>
            <w:vAlign w:val="center"/>
            <w:hideMark/>
          </w:tcPr>
          <w:p w14:paraId="38A5D976" w14:textId="77777777" w:rsidR="006C6A20" w:rsidRDefault="006C6A20">
            <w:pPr>
              <w:spacing w:after="0" w:line="240" w:lineRule="auto"/>
              <w:rPr>
                <w:rFonts w:ascii="Arial" w:eastAsia="Calibri" w:hAnsi="Arial" w:cs="Arial"/>
                <w:b/>
                <w:lang w:eastAsia="en-US"/>
              </w:rPr>
            </w:pPr>
            <w:r>
              <w:rPr>
                <w:rFonts w:ascii="Arial" w:eastAsia="Calibri" w:hAnsi="Arial" w:cs="Arial"/>
                <w:b/>
                <w:lang w:eastAsia="en-US"/>
              </w:rPr>
              <w:t>Impact Assessment Reference:</w:t>
            </w:r>
          </w:p>
        </w:tc>
        <w:tc>
          <w:tcPr>
            <w:tcW w:w="5126" w:type="dxa"/>
            <w:gridSpan w:val="7"/>
            <w:tcBorders>
              <w:top w:val="single" w:sz="4" w:space="0" w:color="auto"/>
              <w:left w:val="single" w:sz="4" w:space="0" w:color="auto"/>
              <w:bottom w:val="single" w:sz="4" w:space="0" w:color="auto"/>
              <w:right w:val="single" w:sz="4" w:space="0" w:color="auto"/>
            </w:tcBorders>
            <w:vAlign w:val="center"/>
          </w:tcPr>
          <w:p w14:paraId="4D9468B8" w14:textId="77777777" w:rsidR="006C6A20" w:rsidRDefault="006C6A20">
            <w:pPr>
              <w:spacing w:after="0" w:line="240" w:lineRule="auto"/>
              <w:rPr>
                <w:rFonts w:ascii="Arial" w:eastAsia="Calibri" w:hAnsi="Arial" w:cs="Arial"/>
                <w:lang w:eastAsia="en-US"/>
              </w:rPr>
            </w:pPr>
          </w:p>
        </w:tc>
      </w:tr>
    </w:tbl>
    <w:p w14:paraId="13085C38" w14:textId="77777777" w:rsidR="006C6A20" w:rsidRDefault="006C6A20" w:rsidP="006C6A20">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4"/>
        <w:gridCol w:w="992"/>
        <w:gridCol w:w="1986"/>
        <w:gridCol w:w="1134"/>
        <w:gridCol w:w="2580"/>
      </w:tblGrid>
      <w:tr w:rsidR="005A54B3" w:rsidRPr="009D7A06" w14:paraId="1DA1BEBC" w14:textId="77777777" w:rsidTr="006C6A20">
        <w:trPr>
          <w:trHeight w:val="460"/>
        </w:trPr>
        <w:tc>
          <w:tcPr>
            <w:tcW w:w="3084" w:type="dxa"/>
            <w:tcBorders>
              <w:right w:val="single" w:sz="4" w:space="0" w:color="auto"/>
            </w:tcBorders>
            <w:shd w:val="clear" w:color="auto" w:fill="auto"/>
            <w:vAlign w:val="center"/>
          </w:tcPr>
          <w:p w14:paraId="6D552533" w14:textId="77777777" w:rsidR="005A54B3" w:rsidRPr="009D7A06" w:rsidRDefault="001309D9" w:rsidP="00FB5089">
            <w:pPr>
              <w:spacing w:after="0" w:line="240" w:lineRule="auto"/>
              <w:rPr>
                <w:rFonts w:ascii="Arial" w:eastAsia="Calibri" w:hAnsi="Arial" w:cs="Arial"/>
                <w:b/>
                <w:lang w:eastAsia="en-US"/>
              </w:rPr>
            </w:pPr>
            <w:r>
              <w:rPr>
                <w:rFonts w:ascii="Arial" w:eastAsia="Calibri" w:hAnsi="Arial" w:cs="Arial"/>
                <w:b/>
                <w:lang w:eastAsia="en-US"/>
              </w:rPr>
              <w:t xml:space="preserve">Initial </w:t>
            </w:r>
            <w:r w:rsidR="005A54B3" w:rsidRPr="009D7A06">
              <w:rPr>
                <w:rFonts w:ascii="Arial" w:eastAsia="Calibri" w:hAnsi="Arial" w:cs="Arial"/>
                <w:b/>
                <w:lang w:eastAsia="en-US"/>
              </w:rPr>
              <w:t xml:space="preserve">Impact Assessment Completed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10804" w14:textId="05B8C6C7" w:rsidR="005A54B3" w:rsidRPr="009452A9" w:rsidRDefault="005A54B3" w:rsidP="00967550">
            <w:pPr>
              <w:spacing w:after="0" w:line="240" w:lineRule="auto"/>
              <w:rPr>
                <w:rFonts w:ascii="Arial" w:eastAsia="Calibri" w:hAnsi="Arial" w:cs="Arial"/>
                <w:lang w:eastAsia="en-US"/>
              </w:rPr>
            </w:pPr>
          </w:p>
        </w:tc>
        <w:tc>
          <w:tcPr>
            <w:tcW w:w="1986" w:type="dxa"/>
            <w:tcBorders>
              <w:top w:val="nil"/>
              <w:left w:val="single" w:sz="4" w:space="0" w:color="auto"/>
              <w:bottom w:val="nil"/>
              <w:right w:val="single" w:sz="4" w:space="0" w:color="auto"/>
            </w:tcBorders>
            <w:shd w:val="clear" w:color="auto" w:fill="auto"/>
            <w:vAlign w:val="center"/>
          </w:tcPr>
          <w:p w14:paraId="4F1D7045" w14:textId="77777777" w:rsidR="005A54B3" w:rsidRPr="009D7A06" w:rsidRDefault="005A54B3" w:rsidP="00FB5089">
            <w:pPr>
              <w:spacing w:after="0" w:line="240" w:lineRule="auto"/>
              <w:rPr>
                <w:rFonts w:ascii="Arial" w:eastAsia="Calibri" w:hAnsi="Arial" w:cs="Arial"/>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8F9C8" w14:textId="77777777" w:rsidR="005A54B3" w:rsidRPr="009D7A06" w:rsidRDefault="005A54B3" w:rsidP="00FB5089">
            <w:pPr>
              <w:spacing w:after="0" w:line="240" w:lineRule="auto"/>
              <w:rPr>
                <w:rFonts w:ascii="Arial" w:eastAsia="Calibri" w:hAnsi="Arial" w:cs="Arial"/>
                <w:b/>
                <w:lang w:eastAsia="en-US"/>
              </w:rPr>
            </w:pPr>
            <w:r w:rsidRPr="009D7A06">
              <w:rPr>
                <w:rFonts w:ascii="Arial" w:eastAsia="Calibri" w:hAnsi="Arial" w:cs="Arial"/>
                <w:b/>
                <w:lang w:eastAsia="en-US"/>
              </w:rPr>
              <w:t>Date</w:t>
            </w:r>
          </w:p>
        </w:tc>
        <w:tc>
          <w:tcPr>
            <w:tcW w:w="2580" w:type="dxa"/>
            <w:tcBorders>
              <w:left w:val="single" w:sz="4" w:space="0" w:color="auto"/>
            </w:tcBorders>
            <w:shd w:val="clear" w:color="auto" w:fill="auto"/>
            <w:vAlign w:val="center"/>
          </w:tcPr>
          <w:p w14:paraId="51434B04" w14:textId="1CAE6310" w:rsidR="005A54B3" w:rsidRPr="009452A9" w:rsidRDefault="005A54B3" w:rsidP="00FB5089">
            <w:pPr>
              <w:spacing w:after="0" w:line="240" w:lineRule="auto"/>
              <w:jc w:val="center"/>
              <w:rPr>
                <w:rFonts w:ascii="Arial" w:eastAsia="Calibri" w:hAnsi="Arial" w:cs="Arial"/>
                <w:lang w:eastAsia="en-US"/>
              </w:rPr>
            </w:pPr>
          </w:p>
        </w:tc>
      </w:tr>
    </w:tbl>
    <w:p w14:paraId="611EE373" w14:textId="77777777" w:rsidR="009452A9" w:rsidRDefault="009452A9" w:rsidP="009452A9">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5"/>
        <w:gridCol w:w="992"/>
        <w:gridCol w:w="1985"/>
        <w:gridCol w:w="1134"/>
        <w:gridCol w:w="2580"/>
      </w:tblGrid>
      <w:tr w:rsidR="001309D9" w:rsidRPr="009D7A06" w14:paraId="097BB434" w14:textId="77777777" w:rsidTr="005A54B3">
        <w:trPr>
          <w:trHeight w:val="460"/>
        </w:trPr>
        <w:tc>
          <w:tcPr>
            <w:tcW w:w="3085" w:type="dxa"/>
            <w:tcBorders>
              <w:right w:val="single" w:sz="4" w:space="0" w:color="auto"/>
            </w:tcBorders>
            <w:shd w:val="clear" w:color="auto" w:fill="auto"/>
            <w:vAlign w:val="center"/>
          </w:tcPr>
          <w:p w14:paraId="7908929C" w14:textId="77777777" w:rsidR="001309D9" w:rsidRDefault="001309D9" w:rsidP="00FB5089">
            <w:pPr>
              <w:spacing w:after="0" w:line="240" w:lineRule="auto"/>
              <w:rPr>
                <w:rFonts w:ascii="Arial" w:eastAsia="Calibri" w:hAnsi="Arial" w:cs="Arial"/>
                <w:b/>
                <w:lang w:eastAsia="en-US"/>
              </w:rPr>
            </w:pPr>
            <w:r>
              <w:rPr>
                <w:rFonts w:ascii="Arial" w:eastAsia="Calibri" w:hAnsi="Arial" w:cs="Arial"/>
                <w:b/>
                <w:lang w:eastAsia="en-US"/>
              </w:rPr>
              <w:t>Review of Policy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ED50B9" w14:textId="77777777" w:rsidR="001309D9" w:rsidRDefault="001309D9" w:rsidP="00FB5089">
            <w:pPr>
              <w:spacing w:after="0" w:line="240" w:lineRule="auto"/>
              <w:jc w:val="center"/>
              <w:rPr>
                <w:rFonts w:ascii="Arial" w:eastAsia="Calibri" w:hAnsi="Arial" w:cs="Arial"/>
                <w:b/>
                <w:lang w:eastAsia="en-US"/>
              </w:rPr>
            </w:pPr>
          </w:p>
        </w:tc>
        <w:tc>
          <w:tcPr>
            <w:tcW w:w="1985" w:type="dxa"/>
            <w:tcBorders>
              <w:top w:val="nil"/>
              <w:left w:val="single" w:sz="4" w:space="0" w:color="auto"/>
              <w:bottom w:val="nil"/>
              <w:right w:val="single" w:sz="4" w:space="0" w:color="auto"/>
            </w:tcBorders>
            <w:shd w:val="clear" w:color="auto" w:fill="auto"/>
            <w:vAlign w:val="center"/>
          </w:tcPr>
          <w:p w14:paraId="233EB255" w14:textId="77777777" w:rsidR="001309D9" w:rsidRPr="009D7A06" w:rsidRDefault="001309D9" w:rsidP="00FB5089">
            <w:pPr>
              <w:spacing w:after="0" w:line="240" w:lineRule="auto"/>
              <w:rPr>
                <w:rFonts w:ascii="Arial" w:eastAsia="Calibri" w:hAnsi="Arial" w:cs="Arial"/>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C3AA6" w14:textId="77777777" w:rsidR="001309D9" w:rsidRPr="009D7A06" w:rsidRDefault="001309D9" w:rsidP="00FB5089">
            <w:pPr>
              <w:spacing w:after="0" w:line="240" w:lineRule="auto"/>
              <w:rPr>
                <w:rFonts w:ascii="Arial" w:eastAsia="Calibri" w:hAnsi="Arial" w:cs="Arial"/>
                <w:b/>
                <w:lang w:eastAsia="en-US"/>
              </w:rPr>
            </w:pPr>
            <w:r>
              <w:rPr>
                <w:rFonts w:ascii="Arial" w:eastAsia="Calibri" w:hAnsi="Arial" w:cs="Arial"/>
                <w:b/>
                <w:lang w:eastAsia="en-US"/>
              </w:rPr>
              <w:t>Date</w:t>
            </w:r>
          </w:p>
        </w:tc>
        <w:tc>
          <w:tcPr>
            <w:tcW w:w="2580" w:type="dxa"/>
            <w:tcBorders>
              <w:left w:val="single" w:sz="4" w:space="0" w:color="auto"/>
            </w:tcBorders>
            <w:shd w:val="clear" w:color="auto" w:fill="auto"/>
            <w:vAlign w:val="center"/>
          </w:tcPr>
          <w:p w14:paraId="0272CEFF" w14:textId="77777777" w:rsidR="001309D9" w:rsidRDefault="001309D9" w:rsidP="00FB5089">
            <w:pPr>
              <w:spacing w:after="0" w:line="240" w:lineRule="auto"/>
              <w:jc w:val="center"/>
              <w:rPr>
                <w:rFonts w:ascii="Arial" w:eastAsia="Calibri" w:hAnsi="Arial" w:cs="Arial"/>
                <w:b/>
                <w:lang w:eastAsia="en-US"/>
              </w:rPr>
            </w:pPr>
          </w:p>
        </w:tc>
      </w:tr>
    </w:tbl>
    <w:p w14:paraId="5E1177A3" w14:textId="109D2904" w:rsidR="001208AF" w:rsidRPr="009452A9" w:rsidRDefault="001208AF" w:rsidP="001208AF">
      <w:pPr>
        <w:pStyle w:val="TOCHeading"/>
        <w:spacing w:before="0" w:line="240" w:lineRule="auto"/>
        <w:rPr>
          <w:rFonts w:ascii="Arial" w:eastAsia="Times New Roman" w:hAnsi="Arial" w:cs="Arial"/>
          <w:b w:val="0"/>
          <w:bCs w:val="0"/>
          <w:color w:val="auto"/>
          <w:sz w:val="32"/>
          <w:szCs w:val="32"/>
          <w:lang w:val="en-GB" w:eastAsia="en-GB"/>
        </w:rPr>
      </w:pPr>
      <w:r>
        <w:rPr>
          <w:rFonts w:ascii="Arial" w:eastAsia="Times New Roman" w:hAnsi="Arial" w:cs="Arial"/>
          <w:b w:val="0"/>
          <w:bCs w:val="0"/>
          <w:sz w:val="32"/>
          <w:szCs w:val="32"/>
        </w:rPr>
        <w:br w:type="page"/>
      </w:r>
      <w:r>
        <w:rPr>
          <w:rFonts w:ascii="Arial" w:hAnsi="Arial" w:cs="Arial"/>
          <w:sz w:val="32"/>
          <w:szCs w:val="32"/>
        </w:rPr>
        <w:lastRenderedPageBreak/>
        <w:t>Revision History</w:t>
      </w:r>
    </w:p>
    <w:p w14:paraId="6D861CD9" w14:textId="737289B4" w:rsidR="001208AF" w:rsidRDefault="001208AF">
      <w:pPr>
        <w:rPr>
          <w:rFonts w:ascii="Arial" w:eastAsia="Times New Roman" w:hAnsi="Arial" w:cs="Arial"/>
          <w:b/>
          <w:bCs/>
          <w:sz w:val="32"/>
          <w:szCs w:val="32"/>
        </w:rPr>
      </w:pPr>
    </w:p>
    <w:tbl>
      <w:tblPr>
        <w:tblStyle w:val="TableGrid"/>
        <w:tblW w:w="0" w:type="auto"/>
        <w:tblLook w:val="04A0" w:firstRow="1" w:lastRow="0" w:firstColumn="1" w:lastColumn="0" w:noHBand="0" w:noVBand="1"/>
      </w:tblPr>
      <w:tblGrid>
        <w:gridCol w:w="1698"/>
        <w:gridCol w:w="1699"/>
        <w:gridCol w:w="6339"/>
      </w:tblGrid>
      <w:tr w:rsidR="001208AF" w:rsidRPr="001208AF" w14:paraId="08E80E2C" w14:textId="77777777" w:rsidTr="001208AF">
        <w:tc>
          <w:tcPr>
            <w:tcW w:w="1698" w:type="dxa"/>
          </w:tcPr>
          <w:p w14:paraId="341CE018" w14:textId="18A1E7B7" w:rsidR="001208AF" w:rsidRPr="001208AF" w:rsidRDefault="001208AF" w:rsidP="00BE7E10">
            <w:pPr>
              <w:pStyle w:val="NoSpacing"/>
              <w:spacing w:before="60" w:after="60"/>
              <w:rPr>
                <w:rFonts w:eastAsia="Times New Roman"/>
                <w:b/>
              </w:rPr>
            </w:pPr>
            <w:r w:rsidRPr="001208AF">
              <w:rPr>
                <w:rFonts w:eastAsia="Times New Roman"/>
                <w:b/>
              </w:rPr>
              <w:t>Version</w:t>
            </w:r>
          </w:p>
        </w:tc>
        <w:tc>
          <w:tcPr>
            <w:tcW w:w="1699" w:type="dxa"/>
          </w:tcPr>
          <w:p w14:paraId="52CDB722" w14:textId="50E09E3B" w:rsidR="001208AF" w:rsidRPr="001208AF" w:rsidRDefault="001208AF" w:rsidP="00BE7E10">
            <w:pPr>
              <w:pStyle w:val="NoSpacing"/>
              <w:spacing w:before="60" w:after="60"/>
              <w:rPr>
                <w:rFonts w:eastAsia="Times New Roman"/>
                <w:b/>
              </w:rPr>
            </w:pPr>
            <w:r w:rsidRPr="001208AF">
              <w:rPr>
                <w:rFonts w:eastAsia="Times New Roman"/>
                <w:b/>
              </w:rPr>
              <w:t>Date</w:t>
            </w:r>
          </w:p>
        </w:tc>
        <w:tc>
          <w:tcPr>
            <w:tcW w:w="6339" w:type="dxa"/>
          </w:tcPr>
          <w:p w14:paraId="38F778F5" w14:textId="702B67A9" w:rsidR="001208AF" w:rsidRPr="001208AF" w:rsidRDefault="001208AF" w:rsidP="00BE7E10">
            <w:pPr>
              <w:pStyle w:val="NoSpacing"/>
              <w:spacing w:before="60" w:after="60"/>
              <w:rPr>
                <w:rFonts w:eastAsia="Times New Roman"/>
                <w:b/>
              </w:rPr>
            </w:pPr>
            <w:r w:rsidRPr="001208AF">
              <w:rPr>
                <w:rFonts w:eastAsia="Times New Roman"/>
                <w:b/>
              </w:rPr>
              <w:t>Changes</w:t>
            </w:r>
          </w:p>
        </w:tc>
      </w:tr>
      <w:tr w:rsidR="001208AF" w14:paraId="5DA10FAD" w14:textId="77777777" w:rsidTr="001208AF">
        <w:tc>
          <w:tcPr>
            <w:tcW w:w="1698" w:type="dxa"/>
          </w:tcPr>
          <w:p w14:paraId="4974662E" w14:textId="6B14F300" w:rsidR="001208AF" w:rsidRDefault="001208AF" w:rsidP="00BE7E10">
            <w:pPr>
              <w:pStyle w:val="NoSpacing"/>
              <w:spacing w:before="60" w:after="60"/>
              <w:jc w:val="left"/>
              <w:rPr>
                <w:rFonts w:eastAsia="Times New Roman"/>
              </w:rPr>
            </w:pPr>
            <w:r>
              <w:rPr>
                <w:rFonts w:eastAsia="Times New Roman"/>
              </w:rPr>
              <w:t xml:space="preserve">Original </w:t>
            </w:r>
          </w:p>
        </w:tc>
        <w:tc>
          <w:tcPr>
            <w:tcW w:w="1699" w:type="dxa"/>
          </w:tcPr>
          <w:p w14:paraId="1180D565" w14:textId="067DEFE5" w:rsidR="001208AF" w:rsidRDefault="001208AF" w:rsidP="00BE7E10">
            <w:pPr>
              <w:pStyle w:val="NoSpacing"/>
              <w:spacing w:before="60" w:after="60"/>
              <w:jc w:val="left"/>
              <w:rPr>
                <w:rFonts w:eastAsia="Times New Roman"/>
              </w:rPr>
            </w:pPr>
            <w:r>
              <w:rPr>
                <w:rFonts w:eastAsia="Times New Roman"/>
              </w:rPr>
              <w:t>July 2015</w:t>
            </w:r>
          </w:p>
        </w:tc>
        <w:tc>
          <w:tcPr>
            <w:tcW w:w="6339" w:type="dxa"/>
          </w:tcPr>
          <w:p w14:paraId="3B2E9C5A" w14:textId="77777777" w:rsidR="001208AF" w:rsidRDefault="001208AF" w:rsidP="00BE7E10">
            <w:pPr>
              <w:pStyle w:val="NoSpacing"/>
              <w:spacing w:before="60" w:after="60"/>
              <w:jc w:val="left"/>
              <w:rPr>
                <w:rFonts w:eastAsia="Times New Roman"/>
              </w:rPr>
            </w:pPr>
            <w:r>
              <w:rPr>
                <w:rFonts w:eastAsia="Times New Roman"/>
              </w:rPr>
              <w:t>1. Rewrite of old document</w:t>
            </w:r>
          </w:p>
          <w:p w14:paraId="16873FA3" w14:textId="2C441813" w:rsidR="001208AF" w:rsidRDefault="001208AF" w:rsidP="00BE7E10">
            <w:pPr>
              <w:pStyle w:val="NoSpacing"/>
              <w:spacing w:before="60" w:after="60"/>
              <w:jc w:val="left"/>
              <w:rPr>
                <w:rFonts w:eastAsia="Times New Roman"/>
              </w:rPr>
            </w:pPr>
            <w:r>
              <w:rPr>
                <w:rFonts w:eastAsia="Times New Roman"/>
              </w:rPr>
              <w:t>2. Adoption of new template</w:t>
            </w:r>
          </w:p>
        </w:tc>
      </w:tr>
      <w:tr w:rsidR="001208AF" w14:paraId="7C7A8C1C" w14:textId="77777777" w:rsidTr="001208AF">
        <w:tc>
          <w:tcPr>
            <w:tcW w:w="1698" w:type="dxa"/>
          </w:tcPr>
          <w:p w14:paraId="48E48BE7" w14:textId="392BCB08" w:rsidR="001208AF" w:rsidRDefault="001208AF" w:rsidP="00BE7E10">
            <w:pPr>
              <w:pStyle w:val="NoSpacing"/>
              <w:spacing w:before="60" w:after="60"/>
              <w:jc w:val="left"/>
              <w:rPr>
                <w:rFonts w:eastAsia="Times New Roman"/>
              </w:rPr>
            </w:pPr>
            <w:r>
              <w:rPr>
                <w:rFonts w:eastAsia="Times New Roman"/>
              </w:rPr>
              <w:t>Rev 1</w:t>
            </w:r>
          </w:p>
        </w:tc>
        <w:tc>
          <w:tcPr>
            <w:tcW w:w="1699" w:type="dxa"/>
          </w:tcPr>
          <w:p w14:paraId="02D80AB1" w14:textId="7EB07C57" w:rsidR="001208AF" w:rsidRDefault="001208AF" w:rsidP="00BE7E10">
            <w:pPr>
              <w:pStyle w:val="NoSpacing"/>
              <w:spacing w:before="60" w:after="60"/>
              <w:jc w:val="left"/>
              <w:rPr>
                <w:rFonts w:eastAsia="Times New Roman"/>
              </w:rPr>
            </w:pPr>
            <w:r>
              <w:rPr>
                <w:rFonts w:eastAsia="Times New Roman"/>
              </w:rPr>
              <w:t>July 2016</w:t>
            </w:r>
          </w:p>
        </w:tc>
        <w:tc>
          <w:tcPr>
            <w:tcW w:w="6339" w:type="dxa"/>
          </w:tcPr>
          <w:p w14:paraId="351EDFC0" w14:textId="5835618D" w:rsidR="001208AF" w:rsidRDefault="001208AF" w:rsidP="00BE7E10">
            <w:pPr>
              <w:pStyle w:val="NoSpacing"/>
              <w:spacing w:before="60" w:after="60"/>
              <w:jc w:val="left"/>
              <w:rPr>
                <w:rFonts w:eastAsia="Times New Roman"/>
              </w:rPr>
            </w:pPr>
            <w:r>
              <w:rPr>
                <w:rFonts w:eastAsia="Times New Roman"/>
              </w:rPr>
              <w:t>1. Date of review/next review</w:t>
            </w:r>
          </w:p>
        </w:tc>
      </w:tr>
      <w:tr w:rsidR="001208AF" w14:paraId="75C2F230" w14:textId="77777777" w:rsidTr="001208AF">
        <w:tc>
          <w:tcPr>
            <w:tcW w:w="1698" w:type="dxa"/>
          </w:tcPr>
          <w:p w14:paraId="3BE20107" w14:textId="5619B493" w:rsidR="001208AF" w:rsidRDefault="001208AF" w:rsidP="00BE7E10">
            <w:pPr>
              <w:pStyle w:val="NoSpacing"/>
              <w:spacing w:before="60" w:after="60"/>
              <w:jc w:val="left"/>
              <w:rPr>
                <w:rFonts w:eastAsia="Times New Roman"/>
              </w:rPr>
            </w:pPr>
            <w:r>
              <w:rPr>
                <w:rFonts w:eastAsia="Times New Roman"/>
              </w:rPr>
              <w:t>Rev 2</w:t>
            </w:r>
          </w:p>
        </w:tc>
        <w:tc>
          <w:tcPr>
            <w:tcW w:w="1699" w:type="dxa"/>
          </w:tcPr>
          <w:p w14:paraId="684E3D2A" w14:textId="6AC4AF11" w:rsidR="001208AF" w:rsidRDefault="001208AF" w:rsidP="00BE7E10">
            <w:pPr>
              <w:pStyle w:val="NoSpacing"/>
              <w:spacing w:before="60" w:after="60"/>
              <w:jc w:val="left"/>
              <w:rPr>
                <w:rFonts w:eastAsia="Times New Roman"/>
              </w:rPr>
            </w:pPr>
            <w:r>
              <w:rPr>
                <w:rFonts w:eastAsia="Times New Roman"/>
              </w:rPr>
              <w:t>July 2017</w:t>
            </w:r>
          </w:p>
        </w:tc>
        <w:tc>
          <w:tcPr>
            <w:tcW w:w="6339" w:type="dxa"/>
          </w:tcPr>
          <w:p w14:paraId="1C8D5A03" w14:textId="159CF779" w:rsidR="001208AF" w:rsidRDefault="001208AF" w:rsidP="00BE7E10">
            <w:pPr>
              <w:pStyle w:val="NoSpacing"/>
              <w:spacing w:before="60" w:after="60"/>
              <w:jc w:val="left"/>
              <w:rPr>
                <w:rFonts w:eastAsia="Times New Roman"/>
              </w:rPr>
            </w:pPr>
            <w:r>
              <w:rPr>
                <w:rFonts w:eastAsia="Times New Roman"/>
              </w:rPr>
              <w:t>1. Date of review/next review</w:t>
            </w:r>
          </w:p>
        </w:tc>
      </w:tr>
      <w:tr w:rsidR="001208AF" w14:paraId="21D08996" w14:textId="77777777" w:rsidTr="001208AF">
        <w:tc>
          <w:tcPr>
            <w:tcW w:w="1698" w:type="dxa"/>
          </w:tcPr>
          <w:p w14:paraId="77E60F9A" w14:textId="2E40CF95" w:rsidR="001208AF" w:rsidRDefault="001208AF" w:rsidP="00BE7E10">
            <w:pPr>
              <w:pStyle w:val="NoSpacing"/>
              <w:spacing w:before="60" w:after="60"/>
              <w:jc w:val="left"/>
              <w:rPr>
                <w:rFonts w:eastAsia="Times New Roman"/>
              </w:rPr>
            </w:pPr>
            <w:r>
              <w:rPr>
                <w:rFonts w:eastAsia="Times New Roman"/>
              </w:rPr>
              <w:t>Rev 3</w:t>
            </w:r>
          </w:p>
        </w:tc>
        <w:tc>
          <w:tcPr>
            <w:tcW w:w="1699" w:type="dxa"/>
          </w:tcPr>
          <w:p w14:paraId="4FF190BD" w14:textId="6962F3D7" w:rsidR="001208AF" w:rsidRDefault="001208AF" w:rsidP="00BE7E10">
            <w:pPr>
              <w:pStyle w:val="NoSpacing"/>
              <w:spacing w:before="60" w:after="60"/>
              <w:jc w:val="left"/>
              <w:rPr>
                <w:rFonts w:eastAsia="Times New Roman"/>
              </w:rPr>
            </w:pPr>
            <w:r>
              <w:rPr>
                <w:rFonts w:eastAsia="Times New Roman"/>
              </w:rPr>
              <w:t>June 2018</w:t>
            </w:r>
          </w:p>
        </w:tc>
        <w:tc>
          <w:tcPr>
            <w:tcW w:w="6339" w:type="dxa"/>
          </w:tcPr>
          <w:p w14:paraId="014A7E00" w14:textId="576FAFC4" w:rsidR="001208AF" w:rsidRDefault="001208AF" w:rsidP="00BE7E10">
            <w:pPr>
              <w:pStyle w:val="NoSpacing"/>
              <w:spacing w:before="60" w:after="60"/>
              <w:jc w:val="left"/>
              <w:rPr>
                <w:rFonts w:eastAsia="Times New Roman"/>
              </w:rPr>
            </w:pPr>
            <w:r>
              <w:rPr>
                <w:rFonts w:eastAsia="Times New Roman"/>
              </w:rPr>
              <w:t>1. Date of review/next review</w:t>
            </w:r>
          </w:p>
        </w:tc>
      </w:tr>
      <w:tr w:rsidR="001208AF" w14:paraId="69290338" w14:textId="77777777" w:rsidTr="001208AF">
        <w:tc>
          <w:tcPr>
            <w:tcW w:w="1698" w:type="dxa"/>
          </w:tcPr>
          <w:p w14:paraId="7AACE78A" w14:textId="7FEE97B8" w:rsidR="001208AF" w:rsidRDefault="001208AF" w:rsidP="00BE7E10">
            <w:pPr>
              <w:pStyle w:val="NoSpacing"/>
              <w:spacing w:before="60" w:after="60"/>
              <w:jc w:val="left"/>
              <w:rPr>
                <w:rFonts w:eastAsia="Times New Roman"/>
              </w:rPr>
            </w:pPr>
            <w:r>
              <w:rPr>
                <w:rFonts w:eastAsia="Times New Roman"/>
              </w:rPr>
              <w:t>Rev 4</w:t>
            </w:r>
          </w:p>
        </w:tc>
        <w:tc>
          <w:tcPr>
            <w:tcW w:w="1699" w:type="dxa"/>
          </w:tcPr>
          <w:p w14:paraId="563B8D1F" w14:textId="768A3A03" w:rsidR="001208AF" w:rsidRDefault="001208AF" w:rsidP="00BE7E10">
            <w:pPr>
              <w:pStyle w:val="NoSpacing"/>
              <w:spacing w:before="60" w:after="60"/>
              <w:jc w:val="left"/>
              <w:rPr>
                <w:rFonts w:eastAsia="Times New Roman"/>
              </w:rPr>
            </w:pPr>
            <w:r>
              <w:rPr>
                <w:rFonts w:eastAsia="Times New Roman"/>
              </w:rPr>
              <w:t>May 2019</w:t>
            </w:r>
          </w:p>
        </w:tc>
        <w:tc>
          <w:tcPr>
            <w:tcW w:w="6339" w:type="dxa"/>
          </w:tcPr>
          <w:p w14:paraId="45A1BEFE" w14:textId="5C8AABE4" w:rsidR="001208AF" w:rsidRDefault="001208AF" w:rsidP="00BE7E10">
            <w:pPr>
              <w:pStyle w:val="NoSpacing"/>
              <w:spacing w:before="60" w:after="60"/>
              <w:jc w:val="left"/>
              <w:rPr>
                <w:rFonts w:eastAsia="Times New Roman"/>
              </w:rPr>
            </w:pPr>
            <w:r>
              <w:rPr>
                <w:rFonts w:eastAsia="Times New Roman"/>
              </w:rPr>
              <w:t>1. Reflected fo</w:t>
            </w:r>
            <w:r w:rsidR="00BE7E10">
              <w:rPr>
                <w:rFonts w:eastAsia="Times New Roman"/>
              </w:rPr>
              <w:t>rmation of Stamford Park Trust and subsequent changes to obligations in admissions as an academy.</w:t>
            </w:r>
          </w:p>
        </w:tc>
      </w:tr>
      <w:tr w:rsidR="007E5739" w14:paraId="6C066B3E" w14:textId="77777777" w:rsidTr="001208AF">
        <w:tc>
          <w:tcPr>
            <w:tcW w:w="1698" w:type="dxa"/>
          </w:tcPr>
          <w:p w14:paraId="39CB796F" w14:textId="631513A3" w:rsidR="007E5739" w:rsidRDefault="007E5739" w:rsidP="007E5739">
            <w:pPr>
              <w:pStyle w:val="NoSpacing"/>
              <w:spacing w:before="60" w:after="60"/>
              <w:jc w:val="left"/>
              <w:rPr>
                <w:rFonts w:eastAsia="Times New Roman"/>
              </w:rPr>
            </w:pPr>
            <w:r>
              <w:rPr>
                <w:rFonts w:eastAsia="Times New Roman"/>
              </w:rPr>
              <w:t>Rev 5</w:t>
            </w:r>
          </w:p>
        </w:tc>
        <w:tc>
          <w:tcPr>
            <w:tcW w:w="1699" w:type="dxa"/>
          </w:tcPr>
          <w:p w14:paraId="4DFE5C55" w14:textId="2F1B3F71" w:rsidR="007E5739" w:rsidRDefault="007E5739" w:rsidP="007E5739">
            <w:pPr>
              <w:pStyle w:val="NoSpacing"/>
              <w:spacing w:before="60" w:after="60"/>
              <w:jc w:val="left"/>
              <w:rPr>
                <w:rFonts w:eastAsia="Times New Roman"/>
              </w:rPr>
            </w:pPr>
            <w:r>
              <w:rPr>
                <w:rFonts w:eastAsia="Times New Roman"/>
              </w:rPr>
              <w:t>October 2022</w:t>
            </w:r>
          </w:p>
        </w:tc>
        <w:tc>
          <w:tcPr>
            <w:tcW w:w="6339" w:type="dxa"/>
          </w:tcPr>
          <w:p w14:paraId="32290DE2" w14:textId="0ED3C0FB" w:rsidR="007E5739" w:rsidRDefault="007E5739" w:rsidP="007E5739">
            <w:pPr>
              <w:pStyle w:val="NoSpacing"/>
              <w:spacing w:before="60" w:after="60"/>
              <w:jc w:val="left"/>
              <w:rPr>
                <w:rFonts w:eastAsia="Times New Roman"/>
              </w:rPr>
            </w:pPr>
            <w:r>
              <w:rPr>
                <w:rFonts w:eastAsia="Times New Roman"/>
              </w:rPr>
              <w:t>1.Change to reflect no Level 2 provision</w:t>
            </w:r>
          </w:p>
        </w:tc>
      </w:tr>
      <w:tr w:rsidR="001D0BE1" w14:paraId="02A4EDBB" w14:textId="77777777" w:rsidTr="001208AF">
        <w:tc>
          <w:tcPr>
            <w:tcW w:w="1698" w:type="dxa"/>
          </w:tcPr>
          <w:p w14:paraId="56824052" w14:textId="08A95643" w:rsidR="001D0BE1" w:rsidRDefault="001D0BE1" w:rsidP="001D0BE1">
            <w:pPr>
              <w:pStyle w:val="NoSpacing"/>
              <w:spacing w:before="60" w:after="60"/>
              <w:jc w:val="left"/>
              <w:rPr>
                <w:rFonts w:eastAsia="Times New Roman"/>
              </w:rPr>
            </w:pPr>
            <w:r>
              <w:rPr>
                <w:rFonts w:eastAsia="Times New Roman"/>
              </w:rPr>
              <w:t>Rev 6</w:t>
            </w:r>
          </w:p>
        </w:tc>
        <w:tc>
          <w:tcPr>
            <w:tcW w:w="1699" w:type="dxa"/>
          </w:tcPr>
          <w:p w14:paraId="5DEA6CEB" w14:textId="4CE1CF0E" w:rsidR="001D0BE1" w:rsidRDefault="001D0BE1" w:rsidP="001D0BE1">
            <w:pPr>
              <w:pStyle w:val="NoSpacing"/>
              <w:spacing w:before="60" w:after="60"/>
              <w:jc w:val="left"/>
              <w:rPr>
                <w:rFonts w:eastAsia="Times New Roman"/>
              </w:rPr>
            </w:pPr>
            <w:r>
              <w:rPr>
                <w:rFonts w:eastAsia="Times New Roman"/>
              </w:rPr>
              <w:t>October 2024</w:t>
            </w:r>
          </w:p>
        </w:tc>
        <w:tc>
          <w:tcPr>
            <w:tcW w:w="6339" w:type="dxa"/>
          </w:tcPr>
          <w:p w14:paraId="05615921" w14:textId="4D0DD9B9" w:rsidR="001D0BE1" w:rsidRDefault="001D0BE1" w:rsidP="001D0BE1">
            <w:pPr>
              <w:pStyle w:val="NoSpacing"/>
              <w:spacing w:before="60" w:after="60"/>
              <w:jc w:val="left"/>
              <w:rPr>
                <w:rFonts w:eastAsia="Times New Roman"/>
              </w:rPr>
            </w:pPr>
            <w:r>
              <w:rPr>
                <w:rFonts w:eastAsia="Times New Roman"/>
              </w:rPr>
              <w:t>1.Rewrite</w:t>
            </w:r>
          </w:p>
        </w:tc>
      </w:tr>
      <w:tr w:rsidR="006F5C15" w14:paraId="58BE6253" w14:textId="77777777" w:rsidTr="001208AF">
        <w:tc>
          <w:tcPr>
            <w:tcW w:w="1698" w:type="dxa"/>
          </w:tcPr>
          <w:p w14:paraId="711347B0" w14:textId="5B21B383" w:rsidR="006F5C15" w:rsidRDefault="006F5C15" w:rsidP="006F5C15">
            <w:pPr>
              <w:pStyle w:val="NoSpacing"/>
              <w:spacing w:before="60" w:after="60"/>
              <w:jc w:val="left"/>
              <w:rPr>
                <w:rFonts w:eastAsia="Times New Roman"/>
              </w:rPr>
            </w:pPr>
            <w:r>
              <w:rPr>
                <w:rFonts w:eastAsia="Times New Roman"/>
              </w:rPr>
              <w:t>Rev 7</w:t>
            </w:r>
          </w:p>
        </w:tc>
        <w:tc>
          <w:tcPr>
            <w:tcW w:w="1699" w:type="dxa"/>
          </w:tcPr>
          <w:p w14:paraId="0BB22F0A" w14:textId="4AFCF2CA" w:rsidR="006F5C15" w:rsidRDefault="006F5C15" w:rsidP="006F5C15">
            <w:pPr>
              <w:pStyle w:val="NoSpacing"/>
              <w:spacing w:before="60" w:after="60"/>
              <w:jc w:val="left"/>
              <w:rPr>
                <w:rFonts w:eastAsia="Times New Roman"/>
              </w:rPr>
            </w:pPr>
            <w:r>
              <w:rPr>
                <w:rFonts w:eastAsia="Times New Roman"/>
              </w:rPr>
              <w:t>October 2025</w:t>
            </w:r>
          </w:p>
        </w:tc>
        <w:tc>
          <w:tcPr>
            <w:tcW w:w="6339" w:type="dxa"/>
          </w:tcPr>
          <w:p w14:paraId="4DC34F19" w14:textId="435BDCC9" w:rsidR="006F5C15" w:rsidRDefault="003D0E8B" w:rsidP="003D0E8B">
            <w:pPr>
              <w:pStyle w:val="NoSpacing"/>
              <w:spacing w:before="60" w:after="60"/>
              <w:jc w:val="left"/>
              <w:rPr>
                <w:rFonts w:eastAsia="Times New Roman"/>
              </w:rPr>
            </w:pPr>
            <w:r>
              <w:rPr>
                <w:rFonts w:eastAsia="Times New Roman"/>
              </w:rPr>
              <w:t>1.</w:t>
            </w:r>
            <w:r w:rsidR="00907C52">
              <w:rPr>
                <w:rFonts w:eastAsia="Times New Roman"/>
              </w:rPr>
              <w:t xml:space="preserve">Clarification of </w:t>
            </w:r>
            <w:r w:rsidR="00DE1BD4">
              <w:rPr>
                <w:rFonts w:eastAsia="Times New Roman"/>
              </w:rPr>
              <w:t xml:space="preserve">admissions offers </w:t>
            </w:r>
          </w:p>
        </w:tc>
      </w:tr>
    </w:tbl>
    <w:p w14:paraId="0C19A6EB" w14:textId="77777777" w:rsidR="001208AF" w:rsidRPr="001208AF" w:rsidRDefault="001208AF" w:rsidP="001208AF">
      <w:pPr>
        <w:pStyle w:val="NoSpacing"/>
        <w:rPr>
          <w:rFonts w:eastAsia="Times New Roman"/>
        </w:rPr>
      </w:pPr>
    </w:p>
    <w:p w14:paraId="4C4195D8" w14:textId="48DF142D" w:rsidR="001208AF" w:rsidRDefault="001208AF">
      <w:pPr>
        <w:rPr>
          <w:rFonts w:ascii="Arial" w:eastAsia="Times New Roman" w:hAnsi="Arial" w:cs="Arial"/>
          <w:b/>
          <w:bCs/>
          <w:sz w:val="32"/>
          <w:szCs w:val="32"/>
        </w:rPr>
      </w:pPr>
      <w:r>
        <w:rPr>
          <w:rFonts w:ascii="Arial" w:eastAsia="Times New Roman" w:hAnsi="Arial" w:cs="Arial"/>
          <w:b/>
          <w:bCs/>
          <w:sz w:val="32"/>
          <w:szCs w:val="32"/>
        </w:rPr>
        <w:br w:type="page"/>
      </w:r>
    </w:p>
    <w:p w14:paraId="589FEA29" w14:textId="77777777" w:rsidR="001D0BE1" w:rsidRPr="00364847" w:rsidRDefault="001D0BE1" w:rsidP="001D0BE1">
      <w:pPr>
        <w:pStyle w:val="NormalWeb"/>
        <w:rPr>
          <w:rFonts w:asciiTheme="minorHAnsi" w:hAnsiTheme="minorHAnsi" w:cstheme="minorHAnsi"/>
          <w:sz w:val="22"/>
          <w:szCs w:val="22"/>
        </w:rPr>
      </w:pPr>
      <w:r w:rsidRPr="00364847">
        <w:rPr>
          <w:rStyle w:val="Strong"/>
          <w:rFonts w:asciiTheme="minorHAnsi" w:hAnsiTheme="minorHAnsi" w:cstheme="minorHAnsi"/>
          <w:sz w:val="22"/>
          <w:szCs w:val="22"/>
        </w:rPr>
        <w:lastRenderedPageBreak/>
        <w:t>Introduction</w:t>
      </w:r>
    </w:p>
    <w:p w14:paraId="09E706F5" w14:textId="77777777"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Ashton Sixth Form College is dedicated to upholding a core value: acting in the best interest of students. This principle informs all our Information, Advice, and Guidance (IAG) efforts and shapes our approach to admissions. The aim of this policy is to guarantee transparency, fairness, and consistency in our admissions procedures, providing clear guidance to all stakeholders.</w:t>
      </w:r>
    </w:p>
    <w:p w14:paraId="7F02933B" w14:textId="77777777"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The College focuses on delivering full-time education primarily for individuals over compulsory school age, but under 19 years old as of August 31st of the academic year.</w:t>
      </w:r>
    </w:p>
    <w:p w14:paraId="20D74169" w14:textId="77777777" w:rsidR="001D0BE1"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The number of students admitted is determined by several factors, including the</w:t>
      </w:r>
      <w:r>
        <w:rPr>
          <w:rFonts w:asciiTheme="minorHAnsi" w:hAnsiTheme="minorHAnsi" w:cstheme="minorHAnsi"/>
          <w:sz w:val="22"/>
          <w:szCs w:val="22"/>
        </w:rPr>
        <w:t xml:space="preserve"> curriculum offer</w:t>
      </w:r>
      <w:r w:rsidRPr="00364847">
        <w:rPr>
          <w:rFonts w:asciiTheme="minorHAnsi" w:hAnsiTheme="minorHAnsi" w:cstheme="minorHAnsi"/>
          <w:sz w:val="22"/>
          <w:szCs w:val="22"/>
        </w:rPr>
        <w:t>, the level of funded student activity allocated by government agencies, and the number of continuing students enrolled in the College.</w:t>
      </w:r>
    </w:p>
    <w:p w14:paraId="7CF52019" w14:textId="77777777" w:rsidR="001D0BE1" w:rsidRPr="000929C5" w:rsidRDefault="001D0BE1" w:rsidP="001D0BE1">
      <w:pPr>
        <w:pStyle w:val="NormalWeb"/>
        <w:rPr>
          <w:rFonts w:asciiTheme="minorHAnsi" w:hAnsiTheme="minorHAnsi" w:cstheme="minorHAnsi"/>
          <w:sz w:val="22"/>
          <w:szCs w:val="22"/>
        </w:rPr>
      </w:pPr>
      <w:r w:rsidRPr="000929C5">
        <w:rPr>
          <w:rStyle w:val="Strong"/>
          <w:rFonts w:asciiTheme="minorHAnsi" w:hAnsiTheme="minorHAnsi" w:cstheme="minorHAnsi"/>
          <w:sz w:val="22"/>
          <w:szCs w:val="22"/>
        </w:rPr>
        <w:t>Aims</w:t>
      </w:r>
    </w:p>
    <w:p w14:paraId="62DD5FCF" w14:textId="77777777"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Our goal is to provide clear, comprehensive advice and guidance throughout the admissions process, ensuring that applicants are fully informed and equipped to make the best choices for their future. This process includes at least one guidance interview and opportunities to visit the College.</w:t>
      </w:r>
    </w:p>
    <w:p w14:paraId="61B1646F" w14:textId="77777777"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The College’s admissions team offers</w:t>
      </w:r>
      <w:r>
        <w:rPr>
          <w:rFonts w:asciiTheme="minorHAnsi" w:hAnsiTheme="minorHAnsi" w:cstheme="minorHAnsi"/>
          <w:sz w:val="22"/>
          <w:szCs w:val="22"/>
        </w:rPr>
        <w:t xml:space="preserve"> information and advice to prospective students and parents/carers</w:t>
      </w:r>
      <w:r w:rsidRPr="00364847">
        <w:rPr>
          <w:rFonts w:asciiTheme="minorHAnsi" w:hAnsiTheme="minorHAnsi" w:cstheme="minorHAnsi"/>
          <w:sz w:val="22"/>
          <w:szCs w:val="22"/>
        </w:rPr>
        <w:t xml:space="preserve">, including entry requirements and course </w:t>
      </w:r>
      <w:r>
        <w:rPr>
          <w:rFonts w:asciiTheme="minorHAnsi" w:hAnsiTheme="minorHAnsi" w:cstheme="minorHAnsi"/>
          <w:sz w:val="22"/>
          <w:szCs w:val="22"/>
        </w:rPr>
        <w:t>options</w:t>
      </w:r>
      <w:r w:rsidRPr="00364847">
        <w:rPr>
          <w:rFonts w:asciiTheme="minorHAnsi" w:hAnsiTheme="minorHAnsi" w:cstheme="minorHAnsi"/>
          <w:sz w:val="22"/>
          <w:szCs w:val="22"/>
        </w:rPr>
        <w:t xml:space="preserve"> through various channels, such as course leaflets, the college website, open days, taster days, and school liaison activities.</w:t>
      </w:r>
    </w:p>
    <w:p w14:paraId="6D66E72A" w14:textId="77777777"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Key aims include:</w:t>
      </w:r>
    </w:p>
    <w:p w14:paraId="1FBF253B" w14:textId="77777777" w:rsidR="001D0BE1" w:rsidRPr="00364847" w:rsidRDefault="001D0BE1" w:rsidP="001D0BE1">
      <w:pPr>
        <w:numPr>
          <w:ilvl w:val="0"/>
          <w:numId w:val="38"/>
        </w:numPr>
        <w:spacing w:before="100" w:beforeAutospacing="1" w:after="100" w:afterAutospacing="1" w:line="240" w:lineRule="auto"/>
        <w:rPr>
          <w:rFonts w:cstheme="minorHAnsi"/>
        </w:rPr>
      </w:pPr>
      <w:r w:rsidRPr="00364847">
        <w:rPr>
          <w:rFonts w:cstheme="minorHAnsi"/>
        </w:rPr>
        <w:t>Offering potential applicants all necessary information to make informed choices and submit appropriate applications.</w:t>
      </w:r>
    </w:p>
    <w:p w14:paraId="0303FC5D" w14:textId="77777777" w:rsidR="001D0BE1" w:rsidRPr="00364847" w:rsidRDefault="001D0BE1" w:rsidP="001D0BE1">
      <w:pPr>
        <w:numPr>
          <w:ilvl w:val="0"/>
          <w:numId w:val="38"/>
        </w:numPr>
        <w:spacing w:before="100" w:beforeAutospacing="1" w:after="100" w:afterAutospacing="1" w:line="240" w:lineRule="auto"/>
        <w:rPr>
          <w:rFonts w:cstheme="minorHAnsi"/>
        </w:rPr>
      </w:pPr>
      <w:r w:rsidRPr="00364847">
        <w:rPr>
          <w:rFonts w:cstheme="minorHAnsi"/>
        </w:rPr>
        <w:t>Providing clear details about entry criteria and application procedures.</w:t>
      </w:r>
    </w:p>
    <w:p w14:paraId="4AF52A8A" w14:textId="77777777" w:rsidR="001D0BE1" w:rsidRPr="00364847" w:rsidRDefault="001D0BE1" w:rsidP="001D0BE1">
      <w:pPr>
        <w:numPr>
          <w:ilvl w:val="0"/>
          <w:numId w:val="38"/>
        </w:numPr>
        <w:spacing w:before="100" w:beforeAutospacing="1" w:after="100" w:afterAutospacing="1" w:line="240" w:lineRule="auto"/>
        <w:rPr>
          <w:rFonts w:cstheme="minorHAnsi"/>
        </w:rPr>
      </w:pPr>
      <w:r w:rsidRPr="00364847">
        <w:rPr>
          <w:rFonts w:cstheme="minorHAnsi"/>
        </w:rPr>
        <w:t>Ensuring that all applications are handled in a timely and professional manner.</w:t>
      </w:r>
    </w:p>
    <w:p w14:paraId="3A6DD72A" w14:textId="77777777" w:rsidR="001D0BE1" w:rsidRPr="00364847" w:rsidRDefault="001D0BE1" w:rsidP="001D0BE1">
      <w:pPr>
        <w:numPr>
          <w:ilvl w:val="0"/>
          <w:numId w:val="38"/>
        </w:numPr>
        <w:spacing w:before="100" w:beforeAutospacing="1" w:after="100" w:afterAutospacing="1" w:line="240" w:lineRule="auto"/>
        <w:rPr>
          <w:rFonts w:cstheme="minorHAnsi"/>
        </w:rPr>
      </w:pPr>
      <w:r w:rsidRPr="00364847">
        <w:rPr>
          <w:rFonts w:cstheme="minorHAnsi"/>
        </w:rPr>
        <w:t>Treating all applicants equitably throughout the admissions process.</w:t>
      </w:r>
    </w:p>
    <w:p w14:paraId="22E4275F" w14:textId="77777777" w:rsidR="001D0BE1" w:rsidRPr="00364847" w:rsidRDefault="001D0BE1" w:rsidP="001D0BE1">
      <w:pPr>
        <w:numPr>
          <w:ilvl w:val="0"/>
          <w:numId w:val="38"/>
        </w:numPr>
        <w:spacing w:before="100" w:beforeAutospacing="1" w:after="100" w:afterAutospacing="1" w:line="240" w:lineRule="auto"/>
        <w:rPr>
          <w:rFonts w:cstheme="minorHAnsi"/>
        </w:rPr>
      </w:pPr>
      <w:r w:rsidRPr="00364847">
        <w:rPr>
          <w:rFonts w:cstheme="minorHAnsi"/>
        </w:rPr>
        <w:t>Providing at least one guidance interview and additional opportunities to visit the College before enrolment.</w:t>
      </w:r>
    </w:p>
    <w:p w14:paraId="25C73B6F" w14:textId="77777777" w:rsidR="001D0BE1" w:rsidRPr="00364847" w:rsidRDefault="001D0BE1" w:rsidP="001D0BE1">
      <w:pPr>
        <w:numPr>
          <w:ilvl w:val="0"/>
          <w:numId w:val="38"/>
        </w:numPr>
        <w:spacing w:before="100" w:beforeAutospacing="1" w:after="100" w:afterAutospacing="1" w:line="240" w:lineRule="auto"/>
        <w:rPr>
          <w:rFonts w:cstheme="minorHAnsi"/>
        </w:rPr>
      </w:pPr>
      <w:r w:rsidRPr="00364847">
        <w:rPr>
          <w:rFonts w:cstheme="minorHAnsi"/>
        </w:rPr>
        <w:t xml:space="preserve">Engaging with schools to support vulnerable learners through the transition to </w:t>
      </w:r>
      <w:proofErr w:type="gramStart"/>
      <w:r w:rsidRPr="00364847">
        <w:rPr>
          <w:rFonts w:cstheme="minorHAnsi"/>
        </w:rPr>
        <w:t>College</w:t>
      </w:r>
      <w:proofErr w:type="gramEnd"/>
      <w:r w:rsidRPr="00364847">
        <w:rPr>
          <w:rFonts w:cstheme="minorHAnsi"/>
        </w:rPr>
        <w:t>.</w:t>
      </w:r>
    </w:p>
    <w:p w14:paraId="673FD595" w14:textId="77777777" w:rsidR="001D0BE1" w:rsidRPr="00364847" w:rsidRDefault="001D0BE1" w:rsidP="001D0BE1">
      <w:pPr>
        <w:numPr>
          <w:ilvl w:val="0"/>
          <w:numId w:val="38"/>
        </w:numPr>
        <w:spacing w:before="100" w:beforeAutospacing="1" w:after="100" w:afterAutospacing="1" w:line="240" w:lineRule="auto"/>
        <w:rPr>
          <w:rFonts w:cstheme="minorHAnsi"/>
        </w:rPr>
      </w:pPr>
      <w:r w:rsidRPr="00364847">
        <w:rPr>
          <w:rFonts w:cstheme="minorHAnsi"/>
        </w:rPr>
        <w:t xml:space="preserve">Ensuring students are enrolled in appropriate courses based on their qualifications and career plans, with impartial </w:t>
      </w:r>
      <w:r>
        <w:rPr>
          <w:rFonts w:cstheme="minorHAnsi"/>
        </w:rPr>
        <w:t>advice</w:t>
      </w:r>
      <w:r w:rsidRPr="00364847">
        <w:rPr>
          <w:rFonts w:cstheme="minorHAnsi"/>
        </w:rPr>
        <w:t xml:space="preserve"> provided if a student’s first-choice course is unsuitable.</w:t>
      </w:r>
    </w:p>
    <w:p w14:paraId="16F1A12E" w14:textId="77777777" w:rsidR="001D0BE1" w:rsidRDefault="001D0BE1" w:rsidP="001D0BE1">
      <w:pPr>
        <w:numPr>
          <w:ilvl w:val="0"/>
          <w:numId w:val="38"/>
        </w:numPr>
        <w:spacing w:before="100" w:beforeAutospacing="1" w:after="100" w:afterAutospacing="1" w:line="240" w:lineRule="auto"/>
        <w:rPr>
          <w:rFonts w:cstheme="minorHAnsi"/>
        </w:rPr>
      </w:pPr>
      <w:r w:rsidRPr="00364847">
        <w:rPr>
          <w:rFonts w:cstheme="minorHAnsi"/>
        </w:rPr>
        <w:t xml:space="preserve">Collaborating closely with schools and external partners to provide up-to-date information about </w:t>
      </w:r>
      <w:r>
        <w:rPr>
          <w:rFonts w:cstheme="minorHAnsi"/>
        </w:rPr>
        <w:t>courses</w:t>
      </w:r>
      <w:r w:rsidRPr="00364847">
        <w:rPr>
          <w:rFonts w:cstheme="minorHAnsi"/>
        </w:rPr>
        <w:t xml:space="preserve"> and entry requirements.</w:t>
      </w:r>
    </w:p>
    <w:p w14:paraId="4EC11257" w14:textId="77777777" w:rsidR="001D0BE1" w:rsidRPr="0019312A" w:rsidRDefault="001D0BE1" w:rsidP="001D0BE1">
      <w:pPr>
        <w:spacing w:before="100" w:beforeAutospacing="1" w:after="100" w:afterAutospacing="1" w:line="240" w:lineRule="auto"/>
        <w:rPr>
          <w:rFonts w:cstheme="minorHAnsi"/>
        </w:rPr>
      </w:pPr>
      <w:r w:rsidRPr="0019312A">
        <w:rPr>
          <w:rStyle w:val="Strong"/>
          <w:rFonts w:cstheme="minorHAnsi"/>
        </w:rPr>
        <w:t>Policy Actions</w:t>
      </w:r>
    </w:p>
    <w:p w14:paraId="5FE96906" w14:textId="77777777"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To achieve these aims, the College will:</w:t>
      </w:r>
    </w:p>
    <w:p w14:paraId="186EE7B8" w14:textId="77777777" w:rsidR="001D0BE1" w:rsidRPr="00364847" w:rsidRDefault="001D0BE1" w:rsidP="001D0BE1">
      <w:pPr>
        <w:numPr>
          <w:ilvl w:val="0"/>
          <w:numId w:val="39"/>
        </w:numPr>
        <w:spacing w:before="100" w:beforeAutospacing="1" w:after="100" w:afterAutospacing="1" w:line="240" w:lineRule="auto"/>
        <w:rPr>
          <w:rFonts w:cstheme="minorHAnsi"/>
        </w:rPr>
      </w:pPr>
      <w:r w:rsidRPr="00364847">
        <w:rPr>
          <w:rFonts w:cstheme="minorHAnsi"/>
        </w:rPr>
        <w:t>Maintain a clear strategy to ensure the implementation of the admissions policy through specific action plans developed in collaboration with the Senior Leadership Team and the Local Governing Body.</w:t>
      </w:r>
    </w:p>
    <w:p w14:paraId="71BC3DD4" w14:textId="5743311A" w:rsidR="001D0BE1" w:rsidRPr="00364847" w:rsidRDefault="001D0BE1" w:rsidP="001D0BE1">
      <w:pPr>
        <w:numPr>
          <w:ilvl w:val="0"/>
          <w:numId w:val="39"/>
        </w:numPr>
        <w:spacing w:before="100" w:beforeAutospacing="1" w:after="100" w:afterAutospacing="1" w:line="240" w:lineRule="auto"/>
        <w:rPr>
          <w:rFonts w:cstheme="minorHAnsi"/>
        </w:rPr>
      </w:pPr>
      <w:r w:rsidRPr="00364847">
        <w:rPr>
          <w:rFonts w:cstheme="minorHAnsi"/>
        </w:rPr>
        <w:t xml:space="preserve">Continuously review </w:t>
      </w:r>
      <w:r w:rsidR="002E57FD">
        <w:rPr>
          <w:rFonts w:cstheme="minorHAnsi"/>
        </w:rPr>
        <w:t xml:space="preserve">the college entry requirements </w:t>
      </w:r>
      <w:r w:rsidRPr="00364847">
        <w:rPr>
          <w:rFonts w:cstheme="minorHAnsi"/>
        </w:rPr>
        <w:t xml:space="preserve">and the admissions process to </w:t>
      </w:r>
      <w:r w:rsidR="002E57FD">
        <w:rPr>
          <w:rFonts w:cstheme="minorHAnsi"/>
        </w:rPr>
        <w:t xml:space="preserve">reflect the needs in the borough and </w:t>
      </w:r>
      <w:r w:rsidRPr="00364847">
        <w:rPr>
          <w:rFonts w:cstheme="minorHAnsi"/>
        </w:rPr>
        <w:t>of prospective students</w:t>
      </w:r>
      <w:r w:rsidR="002E57FD">
        <w:rPr>
          <w:rFonts w:cstheme="minorHAnsi"/>
        </w:rPr>
        <w:t>,</w:t>
      </w:r>
      <w:r w:rsidRPr="00364847">
        <w:rPr>
          <w:rFonts w:cstheme="minorHAnsi"/>
        </w:rPr>
        <w:t xml:space="preserve"> and to adapt to any changes in educational policy or student requirements.</w:t>
      </w:r>
    </w:p>
    <w:p w14:paraId="5D9CF2DD" w14:textId="77777777" w:rsidR="001D0BE1" w:rsidRPr="00364847" w:rsidRDefault="001D0BE1" w:rsidP="001D0BE1">
      <w:pPr>
        <w:numPr>
          <w:ilvl w:val="0"/>
          <w:numId w:val="39"/>
        </w:numPr>
        <w:spacing w:before="100" w:beforeAutospacing="1" w:after="100" w:afterAutospacing="1" w:line="240" w:lineRule="auto"/>
        <w:rPr>
          <w:rFonts w:cstheme="minorHAnsi"/>
        </w:rPr>
      </w:pPr>
      <w:r w:rsidRPr="00364847">
        <w:rPr>
          <w:rFonts w:cstheme="minorHAnsi"/>
        </w:rPr>
        <w:t>Monitor and report on the effectiveness of the admissions process to ensure fairness, transparency, and consistency across all applications.</w:t>
      </w:r>
    </w:p>
    <w:p w14:paraId="12E1E4DC" w14:textId="15575A83" w:rsidR="001D0BE1" w:rsidRPr="0019312A" w:rsidRDefault="001D0BE1" w:rsidP="001D0BE1">
      <w:pPr>
        <w:pStyle w:val="NormalWeb"/>
        <w:rPr>
          <w:rStyle w:val="Strong"/>
          <w:rFonts w:asciiTheme="minorHAnsi" w:hAnsiTheme="minorHAnsi" w:cstheme="minorHAnsi"/>
          <w:sz w:val="22"/>
          <w:szCs w:val="22"/>
        </w:rPr>
      </w:pPr>
      <w:r>
        <w:rPr>
          <w:rStyle w:val="Strong"/>
          <w:rFonts w:asciiTheme="minorHAnsi" w:hAnsiTheme="minorHAnsi" w:cstheme="minorHAnsi"/>
          <w:sz w:val="22"/>
          <w:szCs w:val="22"/>
        </w:rPr>
        <w:lastRenderedPageBreak/>
        <w:t>Context</w:t>
      </w:r>
    </w:p>
    <w:p w14:paraId="77437927" w14:textId="47BF8B63" w:rsidR="001D0BE1"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Our full-time students are typically 16-18 years old and must be under 1</w:t>
      </w:r>
      <w:r w:rsidR="00722647">
        <w:rPr>
          <w:rFonts w:asciiTheme="minorHAnsi" w:hAnsiTheme="minorHAnsi" w:cstheme="minorHAnsi"/>
          <w:sz w:val="22"/>
          <w:szCs w:val="22"/>
        </w:rPr>
        <w:t>8</w:t>
      </w:r>
      <w:r w:rsidRPr="00364847">
        <w:rPr>
          <w:rFonts w:asciiTheme="minorHAnsi" w:hAnsiTheme="minorHAnsi" w:cstheme="minorHAnsi"/>
          <w:sz w:val="22"/>
          <w:szCs w:val="22"/>
        </w:rPr>
        <w:t xml:space="preserve"> as of August 31st of the academic year in which they first enrol. </w:t>
      </w:r>
    </w:p>
    <w:p w14:paraId="7FC89CA0" w14:textId="6F15B0B9" w:rsidR="00CF17FB" w:rsidRPr="00364847" w:rsidRDefault="00CF17FB" w:rsidP="001D0BE1">
      <w:pPr>
        <w:pStyle w:val="NormalWeb"/>
        <w:rPr>
          <w:rFonts w:asciiTheme="minorHAnsi" w:hAnsiTheme="minorHAnsi" w:cstheme="minorHAnsi"/>
          <w:sz w:val="22"/>
          <w:szCs w:val="22"/>
        </w:rPr>
      </w:pPr>
      <w:r>
        <w:rPr>
          <w:rFonts w:asciiTheme="minorHAnsi" w:hAnsiTheme="minorHAnsi" w:cstheme="minorHAnsi"/>
          <w:sz w:val="22"/>
          <w:szCs w:val="22"/>
        </w:rPr>
        <w:t xml:space="preserve">We operate across a regular academic </w:t>
      </w:r>
      <w:r w:rsidR="00EB7F3A">
        <w:rPr>
          <w:rFonts w:asciiTheme="minorHAnsi" w:hAnsiTheme="minorHAnsi" w:cstheme="minorHAnsi"/>
          <w:sz w:val="22"/>
          <w:szCs w:val="22"/>
        </w:rPr>
        <w:t>year and therefore will only admit full time students at the start of an academic year. We do not offer mid-year starts.</w:t>
      </w:r>
    </w:p>
    <w:p w14:paraId="728BCB7F" w14:textId="4E146723"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Students have access to a wide range of Level 3 courses, which are based on their prior qualifications, interests, and career aspirations. The centrali</w:t>
      </w:r>
      <w:r>
        <w:rPr>
          <w:rFonts w:asciiTheme="minorHAnsi" w:hAnsiTheme="minorHAnsi" w:cstheme="minorHAnsi"/>
          <w:sz w:val="22"/>
          <w:szCs w:val="22"/>
        </w:rPr>
        <w:t>s</w:t>
      </w:r>
      <w:r w:rsidRPr="00364847">
        <w:rPr>
          <w:rFonts w:asciiTheme="minorHAnsi" w:hAnsiTheme="minorHAnsi" w:cstheme="minorHAnsi"/>
          <w:sz w:val="22"/>
          <w:szCs w:val="22"/>
        </w:rPr>
        <w:t xml:space="preserve">ed Admissions </w:t>
      </w:r>
      <w:r>
        <w:rPr>
          <w:rFonts w:asciiTheme="minorHAnsi" w:hAnsiTheme="minorHAnsi" w:cstheme="minorHAnsi"/>
          <w:sz w:val="22"/>
          <w:szCs w:val="22"/>
        </w:rPr>
        <w:t>d</w:t>
      </w:r>
      <w:r w:rsidRPr="00364847">
        <w:rPr>
          <w:rFonts w:asciiTheme="minorHAnsi" w:hAnsiTheme="minorHAnsi" w:cstheme="minorHAnsi"/>
          <w:sz w:val="22"/>
          <w:szCs w:val="22"/>
        </w:rPr>
        <w:t xml:space="preserve">epartment processes all applications, and our experienced team ensures that students are </w:t>
      </w:r>
      <w:r>
        <w:rPr>
          <w:rFonts w:asciiTheme="minorHAnsi" w:hAnsiTheme="minorHAnsi" w:cstheme="minorHAnsi"/>
          <w:sz w:val="22"/>
          <w:szCs w:val="22"/>
        </w:rPr>
        <w:t>given appropriate information and advice throughout the admissions process.</w:t>
      </w:r>
      <w:r w:rsidRPr="00364847">
        <w:rPr>
          <w:rFonts w:asciiTheme="minorHAnsi" w:hAnsiTheme="minorHAnsi" w:cstheme="minorHAnsi"/>
          <w:sz w:val="22"/>
          <w:szCs w:val="22"/>
        </w:rPr>
        <w:t xml:space="preserve"> </w:t>
      </w:r>
    </w:p>
    <w:p w14:paraId="4C3E5803" w14:textId="77777777" w:rsidR="001D0BE1" w:rsidRPr="0019312A" w:rsidRDefault="001D0BE1" w:rsidP="001D0BE1">
      <w:pPr>
        <w:pStyle w:val="NormalWeb"/>
        <w:rPr>
          <w:rStyle w:val="Strong"/>
          <w:rFonts w:asciiTheme="minorHAnsi" w:hAnsiTheme="minorHAnsi" w:cstheme="minorHAnsi"/>
          <w:sz w:val="22"/>
          <w:szCs w:val="22"/>
        </w:rPr>
      </w:pPr>
      <w:r w:rsidRPr="0019312A">
        <w:rPr>
          <w:rStyle w:val="Strong"/>
          <w:rFonts w:asciiTheme="minorHAnsi" w:hAnsiTheme="minorHAnsi" w:cstheme="minorHAnsi"/>
          <w:sz w:val="22"/>
          <w:szCs w:val="22"/>
        </w:rPr>
        <w:t>Admission Procedures</w:t>
      </w:r>
    </w:p>
    <w:p w14:paraId="0EC3551E" w14:textId="77777777" w:rsidR="001D0BE1" w:rsidRDefault="001D0BE1" w:rsidP="001D0BE1">
      <w:pPr>
        <w:spacing w:before="100" w:beforeAutospacing="1" w:after="100" w:afterAutospacing="1" w:line="240" w:lineRule="auto"/>
        <w:rPr>
          <w:rFonts w:eastAsia="Times New Roman" w:cstheme="minorHAnsi"/>
        </w:rPr>
      </w:pPr>
      <w:r w:rsidRPr="00364847">
        <w:rPr>
          <w:rFonts w:eastAsia="Times New Roman" w:cstheme="minorHAnsi"/>
        </w:rPr>
        <w:t>The College does not impose any quotas that could advantage or disadvantage specific applicant groups. We uphold a commitment to treat all applicants fairly throughout the admissions process. Additionally, the College welcomes applicants from diverse backgrounds, providing support to students with learning difficulties and disabilities as outlined in our equal opportunities policy.</w:t>
      </w:r>
    </w:p>
    <w:p w14:paraId="76A51432" w14:textId="77777777" w:rsidR="001D0BE1"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 xml:space="preserve">All applicants are expected to be studying at GCSE level or equivalent, or have completed these qualifications at the time of application. Course </w:t>
      </w:r>
      <w:r>
        <w:rPr>
          <w:rFonts w:asciiTheme="minorHAnsi" w:hAnsiTheme="minorHAnsi" w:cstheme="minorHAnsi"/>
          <w:sz w:val="22"/>
          <w:szCs w:val="22"/>
        </w:rPr>
        <w:t xml:space="preserve">enrolment </w:t>
      </w:r>
      <w:r w:rsidRPr="00364847">
        <w:rPr>
          <w:rFonts w:asciiTheme="minorHAnsi" w:hAnsiTheme="minorHAnsi" w:cstheme="minorHAnsi"/>
          <w:sz w:val="22"/>
          <w:szCs w:val="22"/>
        </w:rPr>
        <w:t>depends on a student’s GCSE achievements and future plans, and individual cases are considered carefully.</w:t>
      </w:r>
    </w:p>
    <w:p w14:paraId="3604BA20" w14:textId="1AD54E8C" w:rsidR="001D0BE1" w:rsidRPr="003069FC" w:rsidRDefault="001D0BE1" w:rsidP="001D0BE1">
      <w:pPr>
        <w:pStyle w:val="NormalWeb"/>
        <w:rPr>
          <w:rFonts w:asciiTheme="minorHAnsi" w:hAnsiTheme="minorHAnsi" w:cstheme="minorHAnsi"/>
          <w:sz w:val="22"/>
          <w:szCs w:val="22"/>
        </w:rPr>
      </w:pPr>
      <w:r>
        <w:rPr>
          <w:rFonts w:asciiTheme="minorHAnsi" w:hAnsiTheme="minorHAnsi" w:cstheme="minorHAnsi"/>
          <w:sz w:val="22"/>
          <w:szCs w:val="22"/>
        </w:rPr>
        <w:t>All applicants who apply by the published deadline are guaranteed the offer of a Guidance interview.</w:t>
      </w:r>
      <w:r w:rsidR="009E7052">
        <w:rPr>
          <w:rFonts w:asciiTheme="minorHAnsi" w:hAnsiTheme="minorHAnsi" w:cstheme="minorHAnsi"/>
          <w:sz w:val="22"/>
          <w:szCs w:val="22"/>
        </w:rPr>
        <w:t xml:space="preserve"> Students who attend and have successful Guidance interview will be offered a conditional place which will be confirmed at enrolment once GCSE results are known.</w:t>
      </w:r>
    </w:p>
    <w:p w14:paraId="495BB317" w14:textId="1BE981E5" w:rsidR="00923305" w:rsidRPr="00364847" w:rsidRDefault="000700A3" w:rsidP="001D0BE1">
      <w:pPr>
        <w:pStyle w:val="NormalWeb"/>
        <w:rPr>
          <w:rFonts w:asciiTheme="minorHAnsi" w:hAnsiTheme="minorHAnsi" w:cstheme="minorHAnsi"/>
          <w:sz w:val="22"/>
          <w:szCs w:val="22"/>
        </w:rPr>
      </w:pPr>
      <w:r>
        <w:rPr>
          <w:rFonts w:asciiTheme="minorHAnsi" w:hAnsiTheme="minorHAnsi" w:cstheme="minorHAnsi"/>
          <w:sz w:val="22"/>
          <w:szCs w:val="22"/>
        </w:rPr>
        <w:t xml:space="preserve">Students are enrolled </w:t>
      </w:r>
      <w:r w:rsidR="001D0BE1" w:rsidRPr="00364847">
        <w:rPr>
          <w:rFonts w:asciiTheme="minorHAnsi" w:hAnsiTheme="minorHAnsi" w:cstheme="minorHAnsi"/>
          <w:sz w:val="22"/>
          <w:szCs w:val="22"/>
        </w:rPr>
        <w:t xml:space="preserve">initially for one </w:t>
      </w:r>
      <w:proofErr w:type="spellStart"/>
      <w:r w:rsidR="001D0BE1" w:rsidRPr="00364847">
        <w:rPr>
          <w:rFonts w:asciiTheme="minorHAnsi" w:hAnsiTheme="minorHAnsi" w:cstheme="minorHAnsi"/>
          <w:sz w:val="22"/>
          <w:szCs w:val="22"/>
        </w:rPr>
        <w:t>year</w:t>
      </w:r>
      <w:r>
        <w:rPr>
          <w:rFonts w:asciiTheme="minorHAnsi" w:hAnsiTheme="minorHAnsi" w:cstheme="minorHAnsi"/>
          <w:sz w:val="22"/>
          <w:szCs w:val="22"/>
        </w:rPr>
        <w:t>and</w:t>
      </w:r>
      <w:proofErr w:type="spellEnd"/>
      <w:r>
        <w:rPr>
          <w:rFonts w:asciiTheme="minorHAnsi" w:hAnsiTheme="minorHAnsi" w:cstheme="minorHAnsi"/>
          <w:sz w:val="22"/>
          <w:szCs w:val="22"/>
        </w:rPr>
        <w:t xml:space="preserve"> p</w:t>
      </w:r>
      <w:r w:rsidR="001D0BE1" w:rsidRPr="00364847">
        <w:rPr>
          <w:rFonts w:asciiTheme="minorHAnsi" w:hAnsiTheme="minorHAnsi" w:cstheme="minorHAnsi"/>
          <w:sz w:val="22"/>
          <w:szCs w:val="22"/>
        </w:rPr>
        <w:t xml:space="preserve">rogression </w:t>
      </w:r>
      <w:r>
        <w:rPr>
          <w:rFonts w:asciiTheme="minorHAnsi" w:hAnsiTheme="minorHAnsi" w:cstheme="minorHAnsi"/>
          <w:sz w:val="22"/>
          <w:szCs w:val="22"/>
        </w:rPr>
        <w:t xml:space="preserve">to the second </w:t>
      </w:r>
      <w:proofErr w:type="spellStart"/>
      <w:r>
        <w:rPr>
          <w:rFonts w:asciiTheme="minorHAnsi" w:hAnsiTheme="minorHAnsi" w:cstheme="minorHAnsi"/>
          <w:sz w:val="22"/>
          <w:szCs w:val="22"/>
        </w:rPr>
        <w:t>yearof</w:t>
      </w:r>
      <w:proofErr w:type="spellEnd"/>
      <w:r>
        <w:rPr>
          <w:rFonts w:asciiTheme="minorHAnsi" w:hAnsiTheme="minorHAnsi" w:cstheme="minorHAnsi"/>
          <w:sz w:val="22"/>
          <w:szCs w:val="22"/>
        </w:rPr>
        <w:t xml:space="preserve"> </w:t>
      </w:r>
      <w:r w:rsidR="001D0BE1" w:rsidRPr="00364847">
        <w:rPr>
          <w:rFonts w:asciiTheme="minorHAnsi" w:hAnsiTheme="minorHAnsi" w:cstheme="minorHAnsi"/>
          <w:sz w:val="22"/>
          <w:szCs w:val="22"/>
        </w:rPr>
        <w:t>study is conditional on meeting course requirements, such as maintaining appropriate attendance, behavio</w:t>
      </w:r>
      <w:r w:rsidR="001D0BE1">
        <w:rPr>
          <w:rFonts w:asciiTheme="minorHAnsi" w:hAnsiTheme="minorHAnsi" w:cstheme="minorHAnsi"/>
          <w:sz w:val="22"/>
          <w:szCs w:val="22"/>
        </w:rPr>
        <w:t>u</w:t>
      </w:r>
      <w:r w:rsidR="001D0BE1" w:rsidRPr="00364847">
        <w:rPr>
          <w:rFonts w:asciiTheme="minorHAnsi" w:hAnsiTheme="minorHAnsi" w:cstheme="minorHAnsi"/>
          <w:sz w:val="22"/>
          <w:szCs w:val="22"/>
        </w:rPr>
        <w:t>r, and academic achievement.</w:t>
      </w:r>
    </w:p>
    <w:p w14:paraId="3AF3EE94" w14:textId="77777777"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In certain cases, where an applicant's progress may be affected by significant health or other issues, the offer of a place may be subject to medical or other professional confirmation to ensure that full-time study is safe, healthy, and appropriate for the student.</w:t>
      </w:r>
    </w:p>
    <w:p w14:paraId="3B146B06" w14:textId="77777777"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The College reserves the right to withdraw an offer if any significant changes in the applicant’s educational, domestic, legal, or medical circumstances mean they no longer meet the entry criteria.</w:t>
      </w:r>
    </w:p>
    <w:p w14:paraId="195A950E" w14:textId="77777777" w:rsidR="001D0BE1" w:rsidRPr="00893711" w:rsidRDefault="001D0BE1" w:rsidP="001D0BE1">
      <w:pPr>
        <w:pStyle w:val="NormalWeb"/>
        <w:rPr>
          <w:rFonts w:asciiTheme="minorHAnsi" w:hAnsiTheme="minorHAnsi" w:cstheme="minorHAnsi"/>
          <w:sz w:val="22"/>
          <w:szCs w:val="22"/>
        </w:rPr>
      </w:pPr>
      <w:r w:rsidRPr="00893711">
        <w:rPr>
          <w:rStyle w:val="Strong"/>
          <w:rFonts w:asciiTheme="minorHAnsi" w:hAnsiTheme="minorHAnsi" w:cstheme="minorHAnsi"/>
          <w:sz w:val="22"/>
          <w:szCs w:val="22"/>
        </w:rPr>
        <w:t>Overseas Applicants</w:t>
      </w:r>
    </w:p>
    <w:p w14:paraId="18881558" w14:textId="26FB96FE" w:rsidR="001D0BE1" w:rsidRPr="001D0BE1" w:rsidRDefault="001D0BE1" w:rsidP="001D0BE1">
      <w:pPr>
        <w:pStyle w:val="NormalWeb"/>
        <w:rPr>
          <w:rStyle w:val="Strong"/>
          <w:rFonts w:asciiTheme="minorHAnsi" w:hAnsiTheme="minorHAnsi" w:cstheme="minorHAnsi"/>
          <w:b w:val="0"/>
          <w:bCs w:val="0"/>
          <w:sz w:val="22"/>
          <w:szCs w:val="22"/>
        </w:rPr>
      </w:pPr>
      <w:r w:rsidRPr="00364847">
        <w:rPr>
          <w:rFonts w:asciiTheme="minorHAnsi" w:hAnsiTheme="minorHAnsi" w:cstheme="minorHAnsi"/>
          <w:sz w:val="22"/>
          <w:szCs w:val="22"/>
        </w:rPr>
        <w:t>As a state-funded institution, Ashton Sixth Form College is not authori</w:t>
      </w:r>
      <w:r>
        <w:rPr>
          <w:rFonts w:asciiTheme="minorHAnsi" w:hAnsiTheme="minorHAnsi" w:cstheme="minorHAnsi"/>
          <w:sz w:val="22"/>
          <w:szCs w:val="22"/>
        </w:rPr>
        <w:t>s</w:t>
      </w:r>
      <w:r w:rsidRPr="00364847">
        <w:rPr>
          <w:rFonts w:asciiTheme="minorHAnsi" w:hAnsiTheme="minorHAnsi" w:cstheme="minorHAnsi"/>
          <w:sz w:val="22"/>
          <w:szCs w:val="22"/>
        </w:rPr>
        <w:t>ed to sponsor international students. As a result, all students must</w:t>
      </w:r>
      <w:r w:rsidR="00C94D37">
        <w:rPr>
          <w:rFonts w:asciiTheme="minorHAnsi" w:hAnsiTheme="minorHAnsi" w:cstheme="minorHAnsi"/>
          <w:sz w:val="22"/>
          <w:szCs w:val="22"/>
        </w:rPr>
        <w:t xml:space="preserve"> have</w:t>
      </w:r>
      <w:r w:rsidRPr="00364847">
        <w:rPr>
          <w:rFonts w:asciiTheme="minorHAnsi" w:hAnsiTheme="minorHAnsi" w:cstheme="minorHAnsi"/>
          <w:sz w:val="22"/>
          <w:szCs w:val="22"/>
        </w:rPr>
        <w:t xml:space="preserve"> </w:t>
      </w:r>
      <w:r w:rsidR="0057137F">
        <w:rPr>
          <w:rFonts w:asciiTheme="minorHAnsi" w:hAnsiTheme="minorHAnsi" w:cstheme="minorHAnsi"/>
          <w:sz w:val="22"/>
          <w:szCs w:val="22"/>
        </w:rPr>
        <w:t>settled status</w:t>
      </w:r>
      <w:r w:rsidRPr="00364847">
        <w:rPr>
          <w:rFonts w:asciiTheme="minorHAnsi" w:hAnsiTheme="minorHAnsi" w:cstheme="minorHAnsi"/>
          <w:sz w:val="22"/>
          <w:szCs w:val="22"/>
        </w:rPr>
        <w:t xml:space="preserve"> in the UK before commencing their studies. </w:t>
      </w:r>
      <w:r w:rsidR="004E4968">
        <w:rPr>
          <w:rFonts w:asciiTheme="minorHAnsi" w:hAnsiTheme="minorHAnsi" w:cstheme="minorHAnsi"/>
          <w:sz w:val="22"/>
          <w:szCs w:val="22"/>
        </w:rPr>
        <w:t>A</w:t>
      </w:r>
      <w:r w:rsidR="005E285B">
        <w:rPr>
          <w:rFonts w:asciiTheme="minorHAnsi" w:hAnsiTheme="minorHAnsi" w:cstheme="minorHAnsi"/>
          <w:sz w:val="22"/>
          <w:szCs w:val="22"/>
        </w:rPr>
        <w:t>s a condition of funding, a</w:t>
      </w:r>
      <w:r w:rsidR="004E4968">
        <w:rPr>
          <w:rFonts w:asciiTheme="minorHAnsi" w:hAnsiTheme="minorHAnsi" w:cstheme="minorHAnsi"/>
          <w:sz w:val="22"/>
          <w:szCs w:val="22"/>
        </w:rPr>
        <w:t xml:space="preserve">ny student </w:t>
      </w:r>
      <w:r w:rsidR="005E285B">
        <w:rPr>
          <w:rFonts w:asciiTheme="minorHAnsi" w:hAnsiTheme="minorHAnsi" w:cstheme="minorHAnsi"/>
          <w:sz w:val="22"/>
          <w:szCs w:val="22"/>
        </w:rPr>
        <w:t>who has lived in the UK for less than 3 years</w:t>
      </w:r>
      <w:r w:rsidR="00C94D37">
        <w:rPr>
          <w:rFonts w:asciiTheme="minorHAnsi" w:hAnsiTheme="minorHAnsi" w:cstheme="minorHAnsi"/>
          <w:sz w:val="22"/>
          <w:szCs w:val="22"/>
        </w:rPr>
        <w:t>,</w:t>
      </w:r>
      <w:r w:rsidR="005E285B">
        <w:rPr>
          <w:rFonts w:asciiTheme="minorHAnsi" w:hAnsiTheme="minorHAnsi" w:cstheme="minorHAnsi"/>
          <w:sz w:val="22"/>
          <w:szCs w:val="22"/>
        </w:rPr>
        <w:t xml:space="preserve"> will </w:t>
      </w:r>
      <w:r w:rsidR="00AA4F77">
        <w:rPr>
          <w:rFonts w:asciiTheme="minorHAnsi" w:hAnsiTheme="minorHAnsi" w:cstheme="minorHAnsi"/>
          <w:sz w:val="22"/>
          <w:szCs w:val="22"/>
        </w:rPr>
        <w:t>need to show</w:t>
      </w:r>
      <w:r w:rsidR="005E285B">
        <w:rPr>
          <w:rFonts w:asciiTheme="minorHAnsi" w:hAnsiTheme="minorHAnsi" w:cstheme="minorHAnsi"/>
          <w:sz w:val="22"/>
          <w:szCs w:val="22"/>
        </w:rPr>
        <w:t xml:space="preserve"> </w:t>
      </w:r>
      <w:r w:rsidR="00AA4F77">
        <w:rPr>
          <w:rFonts w:asciiTheme="minorHAnsi" w:hAnsiTheme="minorHAnsi" w:cstheme="minorHAnsi"/>
          <w:sz w:val="22"/>
          <w:szCs w:val="22"/>
        </w:rPr>
        <w:t>e</w:t>
      </w:r>
      <w:r w:rsidRPr="00364847">
        <w:rPr>
          <w:rFonts w:asciiTheme="minorHAnsi" w:hAnsiTheme="minorHAnsi" w:cstheme="minorHAnsi"/>
          <w:sz w:val="22"/>
          <w:szCs w:val="22"/>
        </w:rPr>
        <w:t xml:space="preserve">vidence </w:t>
      </w:r>
      <w:r w:rsidR="00910AA4">
        <w:rPr>
          <w:rFonts w:asciiTheme="minorHAnsi" w:hAnsiTheme="minorHAnsi" w:cstheme="minorHAnsi"/>
          <w:sz w:val="22"/>
          <w:szCs w:val="22"/>
        </w:rPr>
        <w:t xml:space="preserve">of their </w:t>
      </w:r>
      <w:r w:rsidR="0057137F">
        <w:rPr>
          <w:rFonts w:asciiTheme="minorHAnsi" w:hAnsiTheme="minorHAnsi" w:cstheme="minorHAnsi"/>
          <w:sz w:val="22"/>
          <w:szCs w:val="22"/>
        </w:rPr>
        <w:t xml:space="preserve">settled status </w:t>
      </w:r>
      <w:r w:rsidR="00D071AD">
        <w:rPr>
          <w:rFonts w:asciiTheme="minorHAnsi" w:hAnsiTheme="minorHAnsi" w:cstheme="minorHAnsi"/>
          <w:sz w:val="22"/>
          <w:szCs w:val="22"/>
        </w:rPr>
        <w:t>in the UK</w:t>
      </w:r>
      <w:r w:rsidR="00910AA4">
        <w:rPr>
          <w:rFonts w:asciiTheme="minorHAnsi" w:hAnsiTheme="minorHAnsi" w:cstheme="minorHAnsi"/>
          <w:sz w:val="22"/>
          <w:szCs w:val="22"/>
        </w:rPr>
        <w:t xml:space="preserve"> </w:t>
      </w:r>
      <w:r w:rsidRPr="00364847">
        <w:rPr>
          <w:rFonts w:asciiTheme="minorHAnsi" w:hAnsiTheme="minorHAnsi" w:cstheme="minorHAnsi"/>
          <w:sz w:val="22"/>
          <w:szCs w:val="22"/>
        </w:rPr>
        <w:t>at the point of application. If an applicant holds qualifications from outside England or Wales, they will need to provide a NARIC Statement of Comparability. This statement will be used to determine their eligibility for a conditional offer.</w:t>
      </w:r>
    </w:p>
    <w:p w14:paraId="03814C92" w14:textId="77777777" w:rsidR="00EB7F3A" w:rsidRDefault="00EB7F3A" w:rsidP="001D0BE1">
      <w:pPr>
        <w:pStyle w:val="NormalWeb"/>
        <w:rPr>
          <w:rStyle w:val="Strong"/>
          <w:rFonts w:asciiTheme="minorHAnsi" w:hAnsiTheme="minorHAnsi" w:cstheme="minorHAnsi"/>
          <w:sz w:val="22"/>
          <w:szCs w:val="22"/>
        </w:rPr>
      </w:pPr>
    </w:p>
    <w:p w14:paraId="37A793BB" w14:textId="7224A956" w:rsidR="001D0BE1" w:rsidRPr="004C0D37" w:rsidRDefault="001D0BE1" w:rsidP="001D0BE1">
      <w:pPr>
        <w:pStyle w:val="NormalWeb"/>
        <w:rPr>
          <w:rFonts w:asciiTheme="minorHAnsi" w:hAnsiTheme="minorHAnsi" w:cstheme="minorHAnsi"/>
          <w:sz w:val="22"/>
          <w:szCs w:val="22"/>
        </w:rPr>
      </w:pPr>
      <w:r w:rsidRPr="004C0D37">
        <w:rPr>
          <w:rStyle w:val="Strong"/>
          <w:rFonts w:asciiTheme="minorHAnsi" w:hAnsiTheme="minorHAnsi" w:cstheme="minorHAnsi"/>
          <w:sz w:val="22"/>
          <w:szCs w:val="22"/>
        </w:rPr>
        <w:t xml:space="preserve">Applications from Students </w:t>
      </w:r>
      <w:r>
        <w:rPr>
          <w:rStyle w:val="Strong"/>
          <w:rFonts w:asciiTheme="minorHAnsi" w:hAnsiTheme="minorHAnsi" w:cstheme="minorHAnsi"/>
          <w:sz w:val="22"/>
          <w:szCs w:val="22"/>
        </w:rPr>
        <w:t>n</w:t>
      </w:r>
      <w:r w:rsidRPr="004C0D37">
        <w:rPr>
          <w:rStyle w:val="Strong"/>
          <w:rFonts w:asciiTheme="minorHAnsi" w:hAnsiTheme="minorHAnsi" w:cstheme="minorHAnsi"/>
          <w:sz w:val="22"/>
          <w:szCs w:val="22"/>
        </w:rPr>
        <w:t xml:space="preserve">ot in Year 11 or </w:t>
      </w:r>
      <w:r>
        <w:rPr>
          <w:rStyle w:val="Strong"/>
          <w:rFonts w:asciiTheme="minorHAnsi" w:hAnsiTheme="minorHAnsi" w:cstheme="minorHAnsi"/>
          <w:sz w:val="22"/>
          <w:szCs w:val="22"/>
        </w:rPr>
        <w:t>r</w:t>
      </w:r>
      <w:r w:rsidRPr="004C0D37">
        <w:rPr>
          <w:rStyle w:val="Strong"/>
          <w:rFonts w:asciiTheme="minorHAnsi" w:hAnsiTheme="minorHAnsi" w:cstheme="minorHAnsi"/>
          <w:sz w:val="22"/>
          <w:szCs w:val="22"/>
        </w:rPr>
        <w:t xml:space="preserve">eturning </w:t>
      </w:r>
      <w:r>
        <w:rPr>
          <w:rStyle w:val="Strong"/>
          <w:rFonts w:asciiTheme="minorHAnsi" w:hAnsiTheme="minorHAnsi" w:cstheme="minorHAnsi"/>
          <w:sz w:val="22"/>
          <w:szCs w:val="22"/>
        </w:rPr>
        <w:t>s</w:t>
      </w:r>
      <w:r w:rsidRPr="004C0D37">
        <w:rPr>
          <w:rStyle w:val="Strong"/>
          <w:rFonts w:asciiTheme="minorHAnsi" w:hAnsiTheme="minorHAnsi" w:cstheme="minorHAnsi"/>
          <w:sz w:val="22"/>
          <w:szCs w:val="22"/>
        </w:rPr>
        <w:t>tudents</w:t>
      </w:r>
    </w:p>
    <w:p w14:paraId="3447F088" w14:textId="77777777" w:rsidR="00837A5E"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lastRenderedPageBreak/>
        <w:t>Current students wishing to restart Year 12, as well as students applying from other post-16 institutions</w:t>
      </w:r>
      <w:r w:rsidR="009664A6">
        <w:rPr>
          <w:rFonts w:asciiTheme="minorHAnsi" w:hAnsiTheme="minorHAnsi" w:cstheme="minorHAnsi"/>
          <w:sz w:val="22"/>
          <w:szCs w:val="22"/>
        </w:rPr>
        <w:t xml:space="preserve"> (who are 16-18 years old and under 1</w:t>
      </w:r>
      <w:r w:rsidR="00C94D37">
        <w:rPr>
          <w:rFonts w:asciiTheme="minorHAnsi" w:hAnsiTheme="minorHAnsi" w:cstheme="minorHAnsi"/>
          <w:sz w:val="22"/>
          <w:szCs w:val="22"/>
        </w:rPr>
        <w:t>8</w:t>
      </w:r>
      <w:r w:rsidR="0088568C">
        <w:rPr>
          <w:rFonts w:asciiTheme="minorHAnsi" w:hAnsiTheme="minorHAnsi" w:cstheme="minorHAnsi"/>
          <w:sz w:val="22"/>
          <w:szCs w:val="22"/>
        </w:rPr>
        <w:t>yrs</w:t>
      </w:r>
      <w:r w:rsidR="009664A6">
        <w:rPr>
          <w:rFonts w:asciiTheme="minorHAnsi" w:hAnsiTheme="minorHAnsi" w:cstheme="minorHAnsi"/>
          <w:sz w:val="22"/>
          <w:szCs w:val="22"/>
        </w:rPr>
        <w:t xml:space="preserve"> as of the </w:t>
      </w:r>
      <w:proofErr w:type="gramStart"/>
      <w:r w:rsidR="009664A6">
        <w:rPr>
          <w:rFonts w:asciiTheme="minorHAnsi" w:hAnsiTheme="minorHAnsi" w:cstheme="minorHAnsi"/>
          <w:sz w:val="22"/>
          <w:szCs w:val="22"/>
        </w:rPr>
        <w:t>31</w:t>
      </w:r>
      <w:r w:rsidR="009664A6" w:rsidRPr="009664A6">
        <w:rPr>
          <w:rFonts w:asciiTheme="minorHAnsi" w:hAnsiTheme="minorHAnsi" w:cstheme="minorHAnsi"/>
          <w:sz w:val="22"/>
          <w:szCs w:val="22"/>
          <w:vertAlign w:val="superscript"/>
        </w:rPr>
        <w:t>st</w:t>
      </w:r>
      <w:proofErr w:type="gramEnd"/>
      <w:r w:rsidR="009664A6">
        <w:rPr>
          <w:rFonts w:asciiTheme="minorHAnsi" w:hAnsiTheme="minorHAnsi" w:cstheme="minorHAnsi"/>
          <w:sz w:val="22"/>
          <w:szCs w:val="22"/>
        </w:rPr>
        <w:t xml:space="preserve"> August in the enrolment year) </w:t>
      </w:r>
      <w:r w:rsidRPr="00364847">
        <w:rPr>
          <w:rFonts w:asciiTheme="minorHAnsi" w:hAnsiTheme="minorHAnsi" w:cstheme="minorHAnsi"/>
          <w:sz w:val="22"/>
          <w:szCs w:val="22"/>
        </w:rPr>
        <w:t xml:space="preserve">will only be considered </w:t>
      </w:r>
      <w:r w:rsidR="009664A6">
        <w:rPr>
          <w:rFonts w:asciiTheme="minorHAnsi" w:hAnsiTheme="minorHAnsi" w:cstheme="minorHAnsi"/>
          <w:sz w:val="22"/>
          <w:szCs w:val="22"/>
        </w:rPr>
        <w:t xml:space="preserve">where there are </w:t>
      </w:r>
      <w:r w:rsidRPr="00364847">
        <w:rPr>
          <w:rFonts w:asciiTheme="minorHAnsi" w:hAnsiTheme="minorHAnsi" w:cstheme="minorHAnsi"/>
          <w:sz w:val="22"/>
          <w:szCs w:val="22"/>
        </w:rPr>
        <w:t xml:space="preserve">exceptional circumstances. In such cases, the College will require a completed application form detailing the reasons for the application, along with </w:t>
      </w:r>
      <w:r w:rsidR="009E7052">
        <w:rPr>
          <w:rFonts w:asciiTheme="minorHAnsi" w:hAnsiTheme="minorHAnsi" w:cstheme="minorHAnsi"/>
          <w:sz w:val="22"/>
          <w:szCs w:val="22"/>
        </w:rPr>
        <w:t xml:space="preserve">a reference and </w:t>
      </w:r>
      <w:r w:rsidRPr="00364847">
        <w:rPr>
          <w:rFonts w:asciiTheme="minorHAnsi" w:hAnsiTheme="minorHAnsi" w:cstheme="minorHAnsi"/>
          <w:sz w:val="22"/>
          <w:szCs w:val="22"/>
        </w:rPr>
        <w:t>any other supporting documentation</w:t>
      </w:r>
      <w:r>
        <w:rPr>
          <w:rFonts w:asciiTheme="minorHAnsi" w:hAnsiTheme="minorHAnsi" w:cstheme="minorHAnsi"/>
          <w:sz w:val="22"/>
          <w:szCs w:val="22"/>
        </w:rPr>
        <w:t xml:space="preserve"> which will then be considered by The Admissions panel.</w:t>
      </w:r>
      <w:r w:rsidR="009664A6">
        <w:rPr>
          <w:rFonts w:asciiTheme="minorHAnsi" w:hAnsiTheme="minorHAnsi" w:cstheme="minorHAnsi"/>
          <w:sz w:val="22"/>
          <w:szCs w:val="22"/>
        </w:rPr>
        <w:t xml:space="preserve"> </w:t>
      </w:r>
      <w:r w:rsidR="004D7035">
        <w:rPr>
          <w:rFonts w:asciiTheme="minorHAnsi" w:hAnsiTheme="minorHAnsi" w:cstheme="minorHAnsi"/>
          <w:sz w:val="22"/>
          <w:szCs w:val="22"/>
        </w:rPr>
        <w:t xml:space="preserve">The </w:t>
      </w:r>
      <w:r w:rsidR="00923305">
        <w:rPr>
          <w:rFonts w:asciiTheme="minorHAnsi" w:hAnsiTheme="minorHAnsi" w:cstheme="minorHAnsi"/>
          <w:sz w:val="22"/>
          <w:szCs w:val="22"/>
        </w:rPr>
        <w:t>C</w:t>
      </w:r>
      <w:r w:rsidR="004D7035">
        <w:rPr>
          <w:rFonts w:asciiTheme="minorHAnsi" w:hAnsiTheme="minorHAnsi" w:cstheme="minorHAnsi"/>
          <w:sz w:val="22"/>
          <w:szCs w:val="22"/>
        </w:rPr>
        <w:t>ollege does not allow a student to restart where they have already completed Level 3 qualifications.</w:t>
      </w:r>
      <w:r w:rsidR="00923305">
        <w:rPr>
          <w:rFonts w:asciiTheme="minorHAnsi" w:hAnsiTheme="minorHAnsi" w:cstheme="minorHAnsi"/>
          <w:sz w:val="22"/>
          <w:szCs w:val="22"/>
        </w:rPr>
        <w:t xml:space="preserve"> </w:t>
      </w:r>
      <w:r w:rsidR="00923305">
        <w:rPr>
          <w:rFonts w:asciiTheme="minorHAnsi" w:hAnsiTheme="minorHAnsi" w:cstheme="minorHAnsi"/>
          <w:sz w:val="22"/>
          <w:szCs w:val="22"/>
        </w:rPr>
        <w:br/>
      </w:r>
      <w:r w:rsidR="00923305">
        <w:rPr>
          <w:rFonts w:asciiTheme="minorHAnsi" w:hAnsiTheme="minorHAnsi" w:cstheme="minorHAnsi"/>
          <w:sz w:val="22"/>
          <w:szCs w:val="22"/>
        </w:rPr>
        <w:br/>
        <w:t xml:space="preserve">Students who have chosen to leave college before completion of their course and have subsequently taken a year out, will be unable to return to complete their studies. </w:t>
      </w:r>
    </w:p>
    <w:p w14:paraId="204E1614" w14:textId="3631EC6D" w:rsidR="001D0BE1" w:rsidRPr="00893711" w:rsidRDefault="001D0BE1" w:rsidP="001D0BE1">
      <w:pPr>
        <w:pStyle w:val="NormalWeb"/>
        <w:rPr>
          <w:rFonts w:asciiTheme="minorHAnsi" w:hAnsiTheme="minorHAnsi" w:cstheme="minorHAnsi"/>
          <w:sz w:val="22"/>
          <w:szCs w:val="22"/>
        </w:rPr>
      </w:pPr>
      <w:r w:rsidRPr="00893711">
        <w:rPr>
          <w:rStyle w:val="Strong"/>
          <w:rFonts w:asciiTheme="minorHAnsi" w:hAnsiTheme="minorHAnsi" w:cstheme="minorHAnsi"/>
          <w:sz w:val="22"/>
          <w:szCs w:val="22"/>
        </w:rPr>
        <w:t>Late Applications</w:t>
      </w:r>
    </w:p>
    <w:p w14:paraId="6EB1CB30" w14:textId="217B4609" w:rsidR="001D0BE1"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 xml:space="preserve">For students applying later than the published deadline, their applications will be classified as late and they will be placed on a waiting list. Interviews and offers will depend on the availability of places in the desired subjects and </w:t>
      </w:r>
      <w:r w:rsidR="004D7035">
        <w:rPr>
          <w:rFonts w:asciiTheme="minorHAnsi" w:hAnsiTheme="minorHAnsi" w:cstheme="minorHAnsi"/>
          <w:sz w:val="22"/>
          <w:szCs w:val="22"/>
        </w:rPr>
        <w:t xml:space="preserve">at </w:t>
      </w:r>
      <w:r w:rsidRPr="00364847">
        <w:rPr>
          <w:rFonts w:asciiTheme="minorHAnsi" w:hAnsiTheme="minorHAnsi" w:cstheme="minorHAnsi"/>
          <w:sz w:val="22"/>
          <w:szCs w:val="22"/>
        </w:rPr>
        <w:t xml:space="preserve">the discretion of the </w:t>
      </w:r>
      <w:r>
        <w:rPr>
          <w:rFonts w:asciiTheme="minorHAnsi" w:hAnsiTheme="minorHAnsi" w:cstheme="minorHAnsi"/>
          <w:sz w:val="22"/>
          <w:szCs w:val="22"/>
        </w:rPr>
        <w:t>Admissions Panel</w:t>
      </w:r>
      <w:r w:rsidRPr="00364847">
        <w:rPr>
          <w:rFonts w:asciiTheme="minorHAnsi" w:hAnsiTheme="minorHAnsi" w:cstheme="minorHAnsi"/>
          <w:sz w:val="22"/>
          <w:szCs w:val="22"/>
        </w:rPr>
        <w:t xml:space="preserve">. </w:t>
      </w:r>
      <w:r w:rsidR="004D7035">
        <w:rPr>
          <w:rFonts w:asciiTheme="minorHAnsi" w:hAnsiTheme="minorHAnsi" w:cstheme="minorHAnsi"/>
          <w:sz w:val="22"/>
          <w:szCs w:val="22"/>
        </w:rPr>
        <w:t>Any e</w:t>
      </w:r>
      <w:r w:rsidRPr="00364847">
        <w:rPr>
          <w:rFonts w:asciiTheme="minorHAnsi" w:hAnsiTheme="minorHAnsi" w:cstheme="minorHAnsi"/>
          <w:sz w:val="22"/>
          <w:szCs w:val="22"/>
        </w:rPr>
        <w:t xml:space="preserve">xceptional circumstances </w:t>
      </w:r>
      <w:r w:rsidR="004D7035">
        <w:rPr>
          <w:rFonts w:asciiTheme="minorHAnsi" w:hAnsiTheme="minorHAnsi" w:cstheme="minorHAnsi"/>
          <w:sz w:val="22"/>
          <w:szCs w:val="22"/>
        </w:rPr>
        <w:t xml:space="preserve">detailing the reason for the late application </w:t>
      </w:r>
      <w:r w:rsidRPr="00364847">
        <w:rPr>
          <w:rFonts w:asciiTheme="minorHAnsi" w:hAnsiTheme="minorHAnsi" w:cstheme="minorHAnsi"/>
          <w:sz w:val="22"/>
          <w:szCs w:val="22"/>
        </w:rPr>
        <w:t>should be clearly detailed in the application.</w:t>
      </w:r>
    </w:p>
    <w:p w14:paraId="177101E7" w14:textId="3C0607E9" w:rsidR="00221605" w:rsidRPr="00837A5E" w:rsidRDefault="00221605" w:rsidP="001D0BE1">
      <w:pPr>
        <w:pStyle w:val="NormalWeb"/>
        <w:rPr>
          <w:rFonts w:asciiTheme="minorHAnsi" w:hAnsiTheme="minorHAnsi" w:cstheme="minorHAnsi"/>
          <w:b/>
          <w:bCs/>
          <w:sz w:val="22"/>
          <w:szCs w:val="22"/>
        </w:rPr>
      </w:pPr>
      <w:r w:rsidRPr="00837A5E">
        <w:rPr>
          <w:rFonts w:asciiTheme="minorHAnsi" w:hAnsiTheme="minorHAnsi" w:cstheme="minorHAnsi"/>
          <w:b/>
          <w:bCs/>
          <w:sz w:val="22"/>
          <w:szCs w:val="22"/>
        </w:rPr>
        <w:t>Offers</w:t>
      </w:r>
    </w:p>
    <w:p w14:paraId="5CA0DA70" w14:textId="740D9B44" w:rsidR="00221605" w:rsidRPr="00837A5E" w:rsidRDefault="00221605" w:rsidP="001D0BE1">
      <w:pPr>
        <w:pStyle w:val="NormalWeb"/>
        <w:rPr>
          <w:rFonts w:asciiTheme="minorHAnsi" w:hAnsiTheme="minorHAnsi" w:cstheme="minorHAnsi"/>
          <w:sz w:val="22"/>
          <w:szCs w:val="22"/>
        </w:rPr>
      </w:pPr>
      <w:r w:rsidRPr="00837A5E">
        <w:rPr>
          <w:rFonts w:asciiTheme="minorHAnsi" w:hAnsiTheme="minorHAnsi" w:cstheme="minorHAnsi"/>
          <w:sz w:val="22"/>
          <w:szCs w:val="22"/>
        </w:rPr>
        <w:t xml:space="preserve">Offers of a place to study at ASFC are made </w:t>
      </w:r>
      <w:r w:rsidR="003862D7" w:rsidRPr="00837A5E">
        <w:rPr>
          <w:rFonts w:asciiTheme="minorHAnsi" w:hAnsiTheme="minorHAnsi" w:cstheme="minorHAnsi"/>
          <w:sz w:val="22"/>
          <w:szCs w:val="22"/>
        </w:rPr>
        <w:t>to students at their Guidance meeting. Offers are conditional on achieving the minimum college entry requirements and any subject specific entry requirements</w:t>
      </w:r>
      <w:r w:rsidR="00BB40E5" w:rsidRPr="00837A5E">
        <w:rPr>
          <w:rFonts w:asciiTheme="minorHAnsi" w:hAnsiTheme="minorHAnsi" w:cstheme="minorHAnsi"/>
          <w:sz w:val="22"/>
          <w:szCs w:val="22"/>
        </w:rPr>
        <w:t>.</w:t>
      </w:r>
      <w:r w:rsidR="00CA6664" w:rsidRPr="00837A5E">
        <w:rPr>
          <w:rFonts w:asciiTheme="minorHAnsi" w:hAnsiTheme="minorHAnsi" w:cstheme="minorHAnsi"/>
          <w:sz w:val="22"/>
          <w:szCs w:val="22"/>
        </w:rPr>
        <w:t xml:space="preserve"> </w:t>
      </w:r>
    </w:p>
    <w:p w14:paraId="2BDAD97F" w14:textId="124BE1AF" w:rsidR="00C96409" w:rsidRPr="00837A5E" w:rsidRDefault="005600E2" w:rsidP="001D0BE1">
      <w:pPr>
        <w:pStyle w:val="NormalWeb"/>
        <w:rPr>
          <w:rFonts w:asciiTheme="minorHAnsi" w:hAnsiTheme="minorHAnsi" w:cstheme="minorHAnsi"/>
          <w:sz w:val="22"/>
          <w:szCs w:val="22"/>
        </w:rPr>
      </w:pPr>
      <w:r w:rsidRPr="00837A5E">
        <w:rPr>
          <w:rFonts w:asciiTheme="minorHAnsi" w:hAnsiTheme="minorHAnsi" w:cstheme="minorHAnsi"/>
          <w:sz w:val="22"/>
          <w:szCs w:val="22"/>
        </w:rPr>
        <w:t xml:space="preserve">In some cases, we may feel that there are no suitable courses available for the applicant and </w:t>
      </w:r>
      <w:r w:rsidR="00EB7F3A" w:rsidRPr="00837A5E">
        <w:rPr>
          <w:rFonts w:asciiTheme="minorHAnsi" w:hAnsiTheme="minorHAnsi" w:cstheme="minorHAnsi"/>
          <w:sz w:val="22"/>
          <w:szCs w:val="22"/>
        </w:rPr>
        <w:t xml:space="preserve">the college will </w:t>
      </w:r>
      <w:r w:rsidRPr="00837A5E">
        <w:rPr>
          <w:rFonts w:asciiTheme="minorHAnsi" w:hAnsiTheme="minorHAnsi" w:cstheme="minorHAnsi"/>
          <w:sz w:val="22"/>
          <w:szCs w:val="22"/>
        </w:rPr>
        <w:t xml:space="preserve">suggest alternative </w:t>
      </w:r>
      <w:r w:rsidR="00EB7F3A" w:rsidRPr="00837A5E">
        <w:rPr>
          <w:rFonts w:asciiTheme="minorHAnsi" w:hAnsiTheme="minorHAnsi" w:cstheme="minorHAnsi"/>
          <w:sz w:val="22"/>
          <w:szCs w:val="22"/>
        </w:rPr>
        <w:t xml:space="preserve">provision </w:t>
      </w:r>
      <w:r w:rsidRPr="00837A5E">
        <w:rPr>
          <w:rFonts w:asciiTheme="minorHAnsi" w:hAnsiTheme="minorHAnsi" w:cstheme="minorHAnsi"/>
          <w:sz w:val="22"/>
          <w:szCs w:val="22"/>
        </w:rPr>
        <w:t xml:space="preserve">elsewhere. </w:t>
      </w:r>
    </w:p>
    <w:p w14:paraId="68FAAFF9" w14:textId="7FAD166D" w:rsidR="00D02FEA" w:rsidRPr="00837A5E" w:rsidRDefault="00D02FEA" w:rsidP="00D02FEA">
      <w:pPr>
        <w:pStyle w:val="NormalWeb"/>
        <w:rPr>
          <w:rFonts w:asciiTheme="minorHAnsi" w:hAnsiTheme="minorHAnsi" w:cstheme="minorHAnsi"/>
          <w:sz w:val="22"/>
          <w:szCs w:val="22"/>
        </w:rPr>
      </w:pPr>
      <w:r w:rsidRPr="00837A5E">
        <w:rPr>
          <w:rFonts w:asciiTheme="minorHAnsi" w:hAnsiTheme="minorHAnsi" w:cstheme="minorHAnsi"/>
          <w:sz w:val="22"/>
          <w:szCs w:val="22"/>
        </w:rPr>
        <w:t>The College reserves the right to consider any individual or exceptional circumstances that may affect a student’s ability to meet the standard entry requirements</w:t>
      </w:r>
      <w:r w:rsidR="000C7198" w:rsidRPr="00837A5E">
        <w:rPr>
          <w:rFonts w:asciiTheme="minorHAnsi" w:hAnsiTheme="minorHAnsi" w:cstheme="minorHAnsi"/>
          <w:sz w:val="22"/>
          <w:szCs w:val="22"/>
        </w:rPr>
        <w:t xml:space="preserve"> Examples may include home schooled students or students unable to sit GCSEs but being awarded certificates of recognition. </w:t>
      </w:r>
      <w:r w:rsidRPr="00837A5E">
        <w:rPr>
          <w:rFonts w:asciiTheme="minorHAnsi" w:hAnsiTheme="minorHAnsi" w:cstheme="minorHAnsi"/>
          <w:sz w:val="22"/>
          <w:szCs w:val="22"/>
        </w:rPr>
        <w:t>Such considerations will be made at the discretion of the</w:t>
      </w:r>
      <w:r w:rsidR="00C94D37" w:rsidRPr="00837A5E">
        <w:rPr>
          <w:rFonts w:asciiTheme="minorHAnsi" w:hAnsiTheme="minorHAnsi" w:cstheme="minorHAnsi"/>
          <w:sz w:val="22"/>
          <w:szCs w:val="22"/>
        </w:rPr>
        <w:t xml:space="preserve"> Vice Principal: Achievement &amp; </w:t>
      </w:r>
      <w:proofErr w:type="gramStart"/>
      <w:r w:rsidR="00C94D37" w:rsidRPr="00837A5E">
        <w:rPr>
          <w:rFonts w:asciiTheme="minorHAnsi" w:hAnsiTheme="minorHAnsi" w:cstheme="minorHAnsi"/>
          <w:sz w:val="22"/>
          <w:szCs w:val="22"/>
        </w:rPr>
        <w:t>Quality</w:t>
      </w:r>
      <w:r w:rsidRPr="00837A5E">
        <w:rPr>
          <w:rFonts w:asciiTheme="minorHAnsi" w:hAnsiTheme="minorHAnsi" w:cstheme="minorHAnsi"/>
          <w:sz w:val="22"/>
          <w:szCs w:val="22"/>
        </w:rPr>
        <w:t xml:space="preserve"> ,</w:t>
      </w:r>
      <w:proofErr w:type="gramEnd"/>
      <w:r w:rsidRPr="00837A5E">
        <w:rPr>
          <w:rFonts w:asciiTheme="minorHAnsi" w:hAnsiTheme="minorHAnsi" w:cstheme="minorHAnsi"/>
          <w:sz w:val="22"/>
          <w:szCs w:val="22"/>
        </w:rPr>
        <w:t xml:space="preserve"> whose decision regarding an applicant’s eligibility for admission shall be final.</w:t>
      </w:r>
    </w:p>
    <w:p w14:paraId="112EA594" w14:textId="2E425FA4" w:rsidR="008D5079" w:rsidRPr="00837A5E" w:rsidRDefault="00D02FEA" w:rsidP="00D02FEA">
      <w:pPr>
        <w:pStyle w:val="NormalWeb"/>
        <w:rPr>
          <w:rFonts w:asciiTheme="minorHAnsi" w:hAnsiTheme="minorHAnsi" w:cstheme="minorHAnsi"/>
          <w:sz w:val="22"/>
          <w:szCs w:val="22"/>
        </w:rPr>
      </w:pPr>
      <w:r w:rsidRPr="00837A5E">
        <w:rPr>
          <w:rFonts w:asciiTheme="minorHAnsi" w:hAnsiTheme="minorHAnsi" w:cstheme="minorHAnsi"/>
          <w:sz w:val="22"/>
          <w:szCs w:val="22"/>
        </w:rPr>
        <w:t xml:space="preserve">The College also reserves the right to refuse admission where previous behaviour, attendance, effort, achievement, or any other significant factor raises concern — even in cases where a conditional offer has been issued. Furthermore, the College may withdraw an offer if it is found that false or misleading information has been provided, or if the applicant engages in misconduct either on or off </w:t>
      </w:r>
      <w:r w:rsidR="00956A11" w:rsidRPr="00837A5E">
        <w:rPr>
          <w:rFonts w:asciiTheme="minorHAnsi" w:hAnsiTheme="minorHAnsi" w:cstheme="minorHAnsi"/>
          <w:sz w:val="22"/>
          <w:szCs w:val="22"/>
        </w:rPr>
        <w:t>c</w:t>
      </w:r>
      <w:r w:rsidRPr="00837A5E">
        <w:rPr>
          <w:rFonts w:asciiTheme="minorHAnsi" w:hAnsiTheme="minorHAnsi" w:cstheme="minorHAnsi"/>
          <w:sz w:val="22"/>
          <w:szCs w:val="22"/>
        </w:rPr>
        <w:t>ollege premises</w:t>
      </w:r>
      <w:r w:rsidR="00956A11" w:rsidRPr="00837A5E">
        <w:rPr>
          <w:rFonts w:asciiTheme="minorHAnsi" w:hAnsiTheme="minorHAnsi" w:cstheme="minorHAnsi"/>
          <w:sz w:val="22"/>
          <w:szCs w:val="22"/>
        </w:rPr>
        <w:t xml:space="preserve">, including </w:t>
      </w:r>
      <w:r w:rsidR="007A7A0C" w:rsidRPr="00837A5E">
        <w:rPr>
          <w:rFonts w:asciiTheme="minorHAnsi" w:hAnsiTheme="minorHAnsi" w:cstheme="minorHAnsi"/>
          <w:sz w:val="22"/>
          <w:szCs w:val="22"/>
        </w:rPr>
        <w:t>criminal investigations</w:t>
      </w:r>
    </w:p>
    <w:p w14:paraId="743DC9F5" w14:textId="6B881D29" w:rsidR="00D02FEA" w:rsidRPr="00837A5E" w:rsidRDefault="00C94D37" w:rsidP="00D02FEA">
      <w:pPr>
        <w:pStyle w:val="NormalWeb"/>
        <w:rPr>
          <w:rFonts w:asciiTheme="minorHAnsi" w:hAnsiTheme="minorHAnsi" w:cstheme="minorHAnsi"/>
          <w:sz w:val="22"/>
          <w:szCs w:val="22"/>
        </w:rPr>
      </w:pPr>
      <w:r w:rsidRPr="00837A5E">
        <w:rPr>
          <w:rFonts w:asciiTheme="minorHAnsi" w:hAnsiTheme="minorHAnsi" w:cstheme="minorHAnsi"/>
          <w:sz w:val="22"/>
          <w:szCs w:val="22"/>
        </w:rPr>
        <w:t>Where criminal convictions or investigation are in place, the College reserves the right to refuse admission</w:t>
      </w:r>
      <w:r w:rsidR="008D5079" w:rsidRPr="00837A5E">
        <w:rPr>
          <w:rFonts w:asciiTheme="minorHAnsi" w:hAnsiTheme="minorHAnsi" w:cstheme="minorHAnsi"/>
          <w:sz w:val="22"/>
          <w:szCs w:val="22"/>
        </w:rPr>
        <w:t xml:space="preserve"> based on previous convictions or</w:t>
      </w:r>
      <w:r w:rsidRPr="00837A5E">
        <w:rPr>
          <w:rFonts w:asciiTheme="minorHAnsi" w:hAnsiTheme="minorHAnsi" w:cstheme="minorHAnsi"/>
          <w:sz w:val="22"/>
          <w:szCs w:val="22"/>
        </w:rPr>
        <w:t xml:space="preserve"> where the College is unable to meet specified bail conditions</w:t>
      </w:r>
      <w:r w:rsidR="008D5079" w:rsidRPr="00837A5E">
        <w:rPr>
          <w:rFonts w:asciiTheme="minorHAnsi" w:hAnsiTheme="minorHAnsi" w:cstheme="minorHAnsi"/>
          <w:sz w:val="22"/>
          <w:szCs w:val="22"/>
        </w:rPr>
        <w:t>, during an investigation, or whilst awaiting a Crown Prosecution Service decision/outcome.</w:t>
      </w:r>
    </w:p>
    <w:p w14:paraId="0179A86E" w14:textId="77777777" w:rsidR="00D02FEA" w:rsidRPr="00837A5E" w:rsidRDefault="00D02FEA" w:rsidP="00D02FEA">
      <w:pPr>
        <w:pStyle w:val="NormalWeb"/>
        <w:rPr>
          <w:rFonts w:asciiTheme="minorHAnsi" w:hAnsiTheme="minorHAnsi" w:cstheme="minorHAnsi"/>
          <w:sz w:val="22"/>
          <w:szCs w:val="22"/>
        </w:rPr>
      </w:pPr>
      <w:r w:rsidRPr="00837A5E">
        <w:rPr>
          <w:rFonts w:asciiTheme="minorHAnsi" w:hAnsiTheme="minorHAnsi" w:cstheme="minorHAnsi"/>
          <w:sz w:val="22"/>
          <w:szCs w:val="22"/>
        </w:rPr>
        <w:t>The College retains the right to cancel or withdraw a course if enrolment numbers are insufficient, or if changes to the national curriculum make the course unviable. In such circumstances, applicants will be notified prior to enrolment, and suitable alternative options will be explored where possible.</w:t>
      </w:r>
    </w:p>
    <w:p w14:paraId="655D3DB7" w14:textId="1B6E5778" w:rsidR="00CA6664" w:rsidRPr="00837A5E" w:rsidRDefault="00CA6664" w:rsidP="00D02FEA">
      <w:pPr>
        <w:pStyle w:val="NormalWeb"/>
        <w:rPr>
          <w:rFonts w:asciiTheme="minorHAnsi" w:hAnsiTheme="minorHAnsi" w:cstheme="minorHAnsi"/>
          <w:b/>
          <w:bCs/>
          <w:sz w:val="22"/>
          <w:szCs w:val="22"/>
        </w:rPr>
      </w:pPr>
      <w:r w:rsidRPr="00837A5E">
        <w:rPr>
          <w:rFonts w:asciiTheme="minorHAnsi" w:hAnsiTheme="minorHAnsi" w:cstheme="minorHAnsi"/>
          <w:b/>
          <w:bCs/>
          <w:sz w:val="22"/>
          <w:szCs w:val="22"/>
        </w:rPr>
        <w:t>Enrolment</w:t>
      </w:r>
    </w:p>
    <w:p w14:paraId="1453F4C6" w14:textId="7CCBDF8D" w:rsidR="00CA6664" w:rsidRPr="00837A5E" w:rsidRDefault="00CA6664" w:rsidP="00D02FEA">
      <w:pPr>
        <w:pStyle w:val="NormalWeb"/>
        <w:rPr>
          <w:rFonts w:asciiTheme="minorHAnsi" w:hAnsiTheme="minorHAnsi" w:cstheme="minorHAnsi"/>
          <w:sz w:val="22"/>
          <w:szCs w:val="22"/>
        </w:rPr>
      </w:pPr>
      <w:r w:rsidRPr="00837A5E">
        <w:rPr>
          <w:rFonts w:asciiTheme="minorHAnsi" w:hAnsiTheme="minorHAnsi" w:cstheme="minorHAnsi"/>
          <w:sz w:val="22"/>
          <w:szCs w:val="22"/>
        </w:rPr>
        <w:t xml:space="preserve">A </w:t>
      </w:r>
      <w:proofErr w:type="gramStart"/>
      <w:r w:rsidRPr="00837A5E">
        <w:rPr>
          <w:rFonts w:asciiTheme="minorHAnsi" w:hAnsiTheme="minorHAnsi" w:cstheme="minorHAnsi"/>
          <w:sz w:val="22"/>
          <w:szCs w:val="22"/>
        </w:rPr>
        <w:t>students</w:t>
      </w:r>
      <w:proofErr w:type="gramEnd"/>
      <w:r w:rsidRPr="00837A5E">
        <w:rPr>
          <w:rFonts w:asciiTheme="minorHAnsi" w:hAnsiTheme="minorHAnsi" w:cstheme="minorHAnsi"/>
          <w:sz w:val="22"/>
          <w:szCs w:val="22"/>
        </w:rPr>
        <w:t xml:space="preserve"> place is conditional and only confirmed at enrolment once GCSE results are known.  Proof is required by each student that they satisfy the entry criteria to follow their desired programme. All students are required to show appropriate ID as part of the enrolment process.</w:t>
      </w:r>
    </w:p>
    <w:p w14:paraId="567FE09D" w14:textId="0FD229FA" w:rsidR="00CA6664" w:rsidRPr="00837A5E" w:rsidRDefault="00CA6664" w:rsidP="00D02FEA">
      <w:pPr>
        <w:pStyle w:val="NormalWeb"/>
        <w:rPr>
          <w:rFonts w:asciiTheme="minorHAnsi" w:hAnsiTheme="minorHAnsi" w:cstheme="minorHAnsi"/>
          <w:sz w:val="22"/>
          <w:szCs w:val="22"/>
        </w:rPr>
      </w:pPr>
      <w:r w:rsidRPr="00837A5E">
        <w:rPr>
          <w:rFonts w:asciiTheme="minorHAnsi" w:hAnsiTheme="minorHAnsi" w:cstheme="minorHAnsi"/>
          <w:sz w:val="22"/>
          <w:szCs w:val="22"/>
        </w:rPr>
        <w:lastRenderedPageBreak/>
        <w:t>Students who need to change their course </w:t>
      </w:r>
      <w:proofErr w:type="gramStart"/>
      <w:r w:rsidRPr="00837A5E">
        <w:rPr>
          <w:rFonts w:asciiTheme="minorHAnsi" w:hAnsiTheme="minorHAnsi" w:cstheme="minorHAnsi"/>
          <w:sz w:val="22"/>
          <w:szCs w:val="22"/>
        </w:rPr>
        <w:t>as a result of</w:t>
      </w:r>
      <w:proofErr w:type="gramEnd"/>
      <w:r w:rsidRPr="00837A5E">
        <w:rPr>
          <w:rFonts w:asciiTheme="minorHAnsi" w:hAnsiTheme="minorHAnsi" w:cstheme="minorHAnsi"/>
          <w:sz w:val="22"/>
          <w:szCs w:val="22"/>
        </w:rPr>
        <w:t xml:space="preserve"> their GCSE grades will be advised about alternative courses at this stage. Course changes are not </w:t>
      </w:r>
      <w:r w:rsidR="002E57FD" w:rsidRPr="00837A5E">
        <w:rPr>
          <w:rFonts w:asciiTheme="minorHAnsi" w:hAnsiTheme="minorHAnsi" w:cstheme="minorHAnsi"/>
          <w:sz w:val="22"/>
          <w:szCs w:val="22"/>
        </w:rPr>
        <w:t xml:space="preserve">guaranteed and subject to availability and students meeting the necessary entry criteria. </w:t>
      </w:r>
    </w:p>
    <w:p w14:paraId="57F2DE47" w14:textId="6FAC01A0" w:rsidR="002E57FD" w:rsidRPr="00837A5E" w:rsidRDefault="002E57FD" w:rsidP="00D02FEA">
      <w:pPr>
        <w:pStyle w:val="NormalWeb"/>
        <w:rPr>
          <w:rFonts w:asciiTheme="minorHAnsi" w:hAnsiTheme="minorHAnsi" w:cstheme="minorHAnsi"/>
          <w:sz w:val="22"/>
          <w:szCs w:val="22"/>
        </w:rPr>
      </w:pPr>
      <w:r w:rsidRPr="00837A5E">
        <w:rPr>
          <w:rFonts w:asciiTheme="minorHAnsi" w:hAnsiTheme="minorHAnsi" w:cstheme="minorHAnsi"/>
          <w:sz w:val="22"/>
          <w:szCs w:val="22"/>
        </w:rPr>
        <w:t>All students need to enrol before the start of the academic year and the published date that lessons will start. Students unable to enrol by the published lesson start date risk their college place.</w:t>
      </w:r>
    </w:p>
    <w:p w14:paraId="35CCED0B" w14:textId="77777777" w:rsidR="001D0BE1" w:rsidRPr="0019312A" w:rsidRDefault="001D0BE1" w:rsidP="001D0BE1">
      <w:pPr>
        <w:pStyle w:val="NormalWeb"/>
        <w:rPr>
          <w:rFonts w:asciiTheme="minorHAnsi" w:hAnsiTheme="minorHAnsi" w:cstheme="minorHAnsi"/>
          <w:sz w:val="22"/>
          <w:szCs w:val="22"/>
        </w:rPr>
      </w:pPr>
      <w:r w:rsidRPr="0019312A">
        <w:rPr>
          <w:rStyle w:val="Strong"/>
          <w:rFonts w:asciiTheme="minorHAnsi" w:hAnsiTheme="minorHAnsi" w:cstheme="minorHAnsi"/>
          <w:sz w:val="22"/>
          <w:szCs w:val="22"/>
        </w:rPr>
        <w:t>Appeals Process</w:t>
      </w:r>
    </w:p>
    <w:p w14:paraId="11AE9B89" w14:textId="533B82EF"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 xml:space="preserve">If an applicant wishes to appeal a decision regarding their admission, they may do so in writing to </w:t>
      </w:r>
      <w:r>
        <w:rPr>
          <w:rFonts w:asciiTheme="minorHAnsi" w:hAnsiTheme="minorHAnsi" w:cstheme="minorHAnsi"/>
          <w:sz w:val="22"/>
          <w:szCs w:val="22"/>
        </w:rPr>
        <w:t xml:space="preserve">the Vice Principal: Achievement </w:t>
      </w:r>
      <w:r w:rsidR="00B0484E">
        <w:rPr>
          <w:rFonts w:asciiTheme="minorHAnsi" w:hAnsiTheme="minorHAnsi" w:cstheme="minorHAnsi"/>
          <w:sz w:val="22"/>
          <w:szCs w:val="22"/>
        </w:rPr>
        <w:t xml:space="preserve">&amp; Quality </w:t>
      </w:r>
      <w:r w:rsidRPr="00364847">
        <w:rPr>
          <w:rFonts w:asciiTheme="minorHAnsi" w:hAnsiTheme="minorHAnsi" w:cstheme="minorHAnsi"/>
          <w:sz w:val="22"/>
          <w:szCs w:val="22"/>
        </w:rPr>
        <w:t xml:space="preserve">within two weeks of the decision. The </w:t>
      </w:r>
      <w:r>
        <w:rPr>
          <w:rFonts w:asciiTheme="minorHAnsi" w:hAnsiTheme="minorHAnsi" w:cstheme="minorHAnsi"/>
          <w:sz w:val="22"/>
          <w:szCs w:val="22"/>
        </w:rPr>
        <w:t xml:space="preserve">Vice Principal: </w:t>
      </w:r>
      <w:r w:rsidR="00B0484E">
        <w:rPr>
          <w:rFonts w:asciiTheme="minorHAnsi" w:hAnsiTheme="minorHAnsi" w:cstheme="minorHAnsi"/>
          <w:sz w:val="22"/>
          <w:szCs w:val="22"/>
        </w:rPr>
        <w:t xml:space="preserve">Achievement &amp; </w:t>
      </w:r>
      <w:r>
        <w:rPr>
          <w:rFonts w:asciiTheme="minorHAnsi" w:hAnsiTheme="minorHAnsi" w:cstheme="minorHAnsi"/>
          <w:sz w:val="22"/>
          <w:szCs w:val="22"/>
        </w:rPr>
        <w:t>Quality</w:t>
      </w:r>
      <w:r w:rsidRPr="00364847">
        <w:rPr>
          <w:rFonts w:asciiTheme="minorHAnsi" w:hAnsiTheme="minorHAnsi" w:cstheme="minorHAnsi"/>
          <w:sz w:val="22"/>
          <w:szCs w:val="22"/>
        </w:rPr>
        <w:t xml:space="preserve"> has the final authority to hear appeals and make decisions regarding admissions.</w:t>
      </w:r>
    </w:p>
    <w:p w14:paraId="729196C1" w14:textId="77777777" w:rsidR="001D0BE1" w:rsidRDefault="00837A5E" w:rsidP="001D0BE1">
      <w:pPr>
        <w:rPr>
          <w:rFonts w:cstheme="minorHAnsi"/>
        </w:rPr>
      </w:pPr>
      <w:r>
        <w:rPr>
          <w:rFonts w:cstheme="minorHAnsi"/>
        </w:rPr>
        <w:pict w14:anchorId="305C1BB6">
          <v:rect id="_x0000_i1025" style="width:0;height:1.5pt" o:hralign="center" o:hrstd="t" o:hr="t" fillcolor="#a0a0a0" stroked="f"/>
        </w:pict>
      </w:r>
    </w:p>
    <w:p w14:paraId="56516EF6" w14:textId="77777777" w:rsidR="001D0BE1" w:rsidRPr="00DC3C4A" w:rsidRDefault="001D0BE1" w:rsidP="001D0BE1">
      <w:pPr>
        <w:rPr>
          <w:rFonts w:cstheme="minorHAnsi"/>
        </w:rPr>
      </w:pPr>
      <w:r w:rsidRPr="00DC3C4A">
        <w:rPr>
          <w:rStyle w:val="Strong"/>
          <w:rFonts w:cstheme="minorHAnsi"/>
        </w:rPr>
        <w:t>Contact Information</w:t>
      </w:r>
    </w:p>
    <w:p w14:paraId="0D1AAF28" w14:textId="77777777" w:rsidR="001D0BE1" w:rsidRPr="00364847" w:rsidRDefault="001D0BE1" w:rsidP="001D0BE1">
      <w:pPr>
        <w:pStyle w:val="NormalWeb"/>
        <w:rPr>
          <w:rFonts w:asciiTheme="minorHAnsi" w:hAnsiTheme="minorHAnsi" w:cstheme="minorHAnsi"/>
          <w:sz w:val="22"/>
          <w:szCs w:val="22"/>
        </w:rPr>
      </w:pPr>
      <w:r w:rsidRPr="00364847">
        <w:rPr>
          <w:rFonts w:asciiTheme="minorHAnsi" w:hAnsiTheme="minorHAnsi" w:cstheme="minorHAnsi"/>
          <w:sz w:val="22"/>
          <w:szCs w:val="22"/>
        </w:rPr>
        <w:t>For further inquiries regarding the admissions process or to request a full copy of the admissions procedures, applicants can contact the College directly at:</w:t>
      </w:r>
    </w:p>
    <w:p w14:paraId="65E27B18" w14:textId="5FD38DA7" w:rsidR="001208AF" w:rsidRPr="008D5079" w:rsidRDefault="001D0BE1" w:rsidP="008D5079">
      <w:pPr>
        <w:pStyle w:val="NormalWeb"/>
        <w:rPr>
          <w:rFonts w:asciiTheme="minorHAnsi" w:hAnsiTheme="minorHAnsi" w:cstheme="minorHAnsi"/>
          <w:sz w:val="22"/>
          <w:szCs w:val="22"/>
        </w:rPr>
      </w:pPr>
      <w:r w:rsidRPr="00364847">
        <w:rPr>
          <w:rStyle w:val="Strong"/>
          <w:rFonts w:asciiTheme="minorHAnsi" w:hAnsiTheme="minorHAnsi" w:cstheme="minorHAnsi"/>
          <w:sz w:val="22"/>
          <w:szCs w:val="22"/>
        </w:rPr>
        <w:t>Phone</w:t>
      </w:r>
      <w:r w:rsidRPr="00364847">
        <w:rPr>
          <w:rFonts w:asciiTheme="minorHAnsi" w:hAnsiTheme="minorHAnsi" w:cstheme="minorHAnsi"/>
          <w:sz w:val="22"/>
          <w:szCs w:val="22"/>
        </w:rPr>
        <w:t>: 0161 330 2330</w:t>
      </w:r>
      <w:r w:rsidRPr="00364847">
        <w:rPr>
          <w:rFonts w:asciiTheme="minorHAnsi" w:hAnsiTheme="minorHAnsi" w:cstheme="minorHAnsi"/>
          <w:sz w:val="22"/>
          <w:szCs w:val="22"/>
        </w:rPr>
        <w:br/>
      </w:r>
      <w:r w:rsidRPr="00364847">
        <w:rPr>
          <w:rStyle w:val="Strong"/>
          <w:rFonts w:asciiTheme="minorHAnsi" w:hAnsiTheme="minorHAnsi" w:cstheme="minorHAnsi"/>
          <w:sz w:val="22"/>
          <w:szCs w:val="22"/>
        </w:rPr>
        <w:t>Email</w:t>
      </w:r>
      <w:r w:rsidRPr="00364847">
        <w:rPr>
          <w:rFonts w:asciiTheme="minorHAnsi" w:hAnsiTheme="minorHAnsi" w:cstheme="minorHAnsi"/>
          <w:sz w:val="22"/>
          <w:szCs w:val="22"/>
        </w:rPr>
        <w:t>: admissions@asfc.ac.u</w:t>
      </w:r>
      <w:r>
        <w:rPr>
          <w:rFonts w:asciiTheme="minorHAnsi" w:hAnsiTheme="minorHAnsi" w:cstheme="minorHAnsi"/>
          <w:sz w:val="22"/>
          <w:szCs w:val="22"/>
        </w:rPr>
        <w:t>k</w:t>
      </w:r>
    </w:p>
    <w:sectPr w:rsidR="001208AF" w:rsidRPr="008D5079" w:rsidSect="00C94D37">
      <w:headerReference w:type="default" r:id="rId12"/>
      <w:footerReference w:type="default" r:id="rId13"/>
      <w:headerReference w:type="first" r:id="rId14"/>
      <w:footerReference w:type="first" r:id="rId15"/>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F340" w14:textId="77777777" w:rsidR="00C77614" w:rsidRDefault="00C77614" w:rsidP="008931A9">
      <w:pPr>
        <w:spacing w:after="0" w:line="240" w:lineRule="auto"/>
      </w:pPr>
      <w:r>
        <w:separator/>
      </w:r>
    </w:p>
  </w:endnote>
  <w:endnote w:type="continuationSeparator" w:id="0">
    <w:p w14:paraId="65860F9C" w14:textId="77777777" w:rsidR="00C77614" w:rsidRDefault="00C77614" w:rsidP="0089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B210" w14:textId="77777777" w:rsidR="00904B88" w:rsidRDefault="00904B88">
    <w:pPr>
      <w:pStyle w:val="Footer"/>
      <w:jc w:val="center"/>
    </w:pPr>
  </w:p>
  <w:p w14:paraId="2DF2DDAB" w14:textId="09CB9881" w:rsidR="002725ED" w:rsidRPr="002725ED" w:rsidRDefault="00FB5089" w:rsidP="002725ED">
    <w:pPr>
      <w:pStyle w:val="Footer"/>
      <w:jc w:val="right"/>
    </w:pPr>
    <w:r>
      <w:rPr>
        <w:rFonts w:ascii="Arial" w:hAnsi="Arial" w:cs="Arial"/>
      </w:rPr>
      <w:t>Ashton Sixth Form College</w:t>
    </w:r>
    <w:r w:rsidR="0083147D" w:rsidRPr="009D7A06">
      <w:rPr>
        <w:rFonts w:ascii="Arial" w:hAnsi="Arial" w:cs="Arial"/>
      </w:rPr>
      <w:tab/>
    </w:r>
    <w:r w:rsidR="0083147D" w:rsidRPr="009D7A06">
      <w:rPr>
        <w:rFonts w:ascii="Arial" w:hAnsi="Arial" w:cs="Arial"/>
      </w:rPr>
      <w:fldChar w:fldCharType="begin"/>
    </w:r>
    <w:r w:rsidR="0083147D" w:rsidRPr="009D7A06">
      <w:rPr>
        <w:rFonts w:ascii="Arial" w:hAnsi="Arial" w:cs="Arial"/>
      </w:rPr>
      <w:instrText xml:space="preserve"> PAGE   \* MERGEFORMAT </w:instrText>
    </w:r>
    <w:r w:rsidR="0083147D" w:rsidRPr="009D7A06">
      <w:rPr>
        <w:rFonts w:ascii="Arial" w:hAnsi="Arial" w:cs="Arial"/>
      </w:rPr>
      <w:fldChar w:fldCharType="separate"/>
    </w:r>
    <w:r w:rsidR="00615E50">
      <w:rPr>
        <w:rFonts w:ascii="Arial" w:hAnsi="Arial" w:cs="Arial"/>
        <w:noProof/>
      </w:rPr>
      <w:t>6</w:t>
    </w:r>
    <w:r w:rsidR="0083147D" w:rsidRPr="009D7A06">
      <w:rPr>
        <w:rFonts w:ascii="Arial" w:hAnsi="Arial" w:cs="Arial"/>
        <w:noProof/>
      </w:rPr>
      <w:fldChar w:fldCharType="end"/>
    </w:r>
    <w:r w:rsidR="0083147D" w:rsidRPr="009D7A06">
      <w:rPr>
        <w:rFonts w:ascii="Arial" w:hAnsi="Arial" w:cs="Arial"/>
      </w:rPr>
      <w:tab/>
    </w:r>
    <w:r w:rsidR="001208AF">
      <w:rPr>
        <w:rFonts w:ascii="Arial" w:hAnsi="Arial" w:cs="Arial"/>
      </w:rPr>
      <w:t xml:space="preserve">Rev </w:t>
    </w:r>
    <w:r w:rsidR="001D0BE1">
      <w:rPr>
        <w:rFonts w:ascii="Arial" w:hAnsi="Arial" w:cs="Arial"/>
      </w:rPr>
      <w:t>6</w:t>
    </w:r>
    <w:r w:rsidR="001208AF">
      <w:rPr>
        <w:rFonts w:ascii="Arial" w:hAnsi="Arial" w:cs="Arial"/>
      </w:rPr>
      <w:t xml:space="preserve"> </w:t>
    </w:r>
    <w:r w:rsidR="001D0BE1">
      <w:rPr>
        <w:rFonts w:ascii="Arial" w:hAnsi="Arial" w:cs="Arial"/>
      </w:rPr>
      <w:t>–</w:t>
    </w:r>
    <w:r w:rsidR="001208AF">
      <w:rPr>
        <w:rFonts w:ascii="Arial" w:hAnsi="Arial" w:cs="Arial"/>
      </w:rPr>
      <w:t xml:space="preserve"> </w:t>
    </w:r>
    <w:r w:rsidR="001D0BE1">
      <w:t>October 202</w:t>
    </w:r>
    <w:r w:rsidR="00C94D37">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FB64" w14:textId="673B49DA" w:rsidR="008931A9" w:rsidRPr="002725ED" w:rsidRDefault="001208AF" w:rsidP="002725ED">
    <w:pPr>
      <w:pStyle w:val="Footer"/>
      <w:jc w:val="right"/>
    </w:pPr>
    <w:r>
      <w:t xml:space="preserve">Rev </w:t>
    </w:r>
    <w:r w:rsidR="00907C52">
      <w:t>7</w:t>
    </w:r>
    <w:r>
      <w:t xml:space="preserve"> </w:t>
    </w:r>
    <w:r w:rsidR="001D0BE1">
      <w:t>–</w:t>
    </w:r>
    <w:r>
      <w:t xml:space="preserve"> </w:t>
    </w:r>
    <w:r w:rsidR="001D0BE1">
      <w:t>October 202</w:t>
    </w:r>
    <w:r w:rsidR="00907C5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6E0C" w14:textId="77777777" w:rsidR="00C77614" w:rsidRDefault="00C77614" w:rsidP="008931A9">
      <w:pPr>
        <w:spacing w:after="0" w:line="240" w:lineRule="auto"/>
      </w:pPr>
      <w:r>
        <w:separator/>
      </w:r>
    </w:p>
  </w:footnote>
  <w:footnote w:type="continuationSeparator" w:id="0">
    <w:p w14:paraId="36D7964D" w14:textId="77777777" w:rsidR="00C77614" w:rsidRDefault="00C77614" w:rsidP="00893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23DA" w14:textId="0397FDDC" w:rsidR="00904B88" w:rsidRPr="00904B88" w:rsidRDefault="00C051A3" w:rsidP="00904B88">
    <w:pPr>
      <w:pStyle w:val="Header"/>
      <w:jc w:val="right"/>
      <w:rPr>
        <w:rFonts w:ascii="Arial" w:hAnsi="Arial" w:cs="Arial"/>
      </w:rPr>
    </w:pPr>
    <w:r>
      <w:rPr>
        <w:rFonts w:ascii="Arial" w:hAnsi="Arial" w:cs="Arial"/>
      </w:rPr>
      <w:t>Admissions Policy (16-19)</w:t>
    </w:r>
  </w:p>
  <w:p w14:paraId="4D82330B" w14:textId="77777777" w:rsidR="00F34570" w:rsidRDefault="00F345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3C44" w14:textId="77777777" w:rsidR="008931A9" w:rsidRDefault="00837A5E">
    <w:pPr>
      <w:pStyle w:val="Header"/>
    </w:pPr>
    <w:r>
      <w:rPr>
        <w:noProof/>
      </w:rPr>
      <w:object w:dxaOrig="1440" w:dyaOrig="1440" w14:anchorId="1659289F">
        <v:rect id="_x0000_s1025" style="position:absolute;margin-left:-201pt;margin-top:-132.9pt;width:777.95pt;height:1092.15pt;z-index:-251658752;mso-position-horizontal-relative:text;mso-position-vertical-relative:text" o:preferrelative="t" filled="f" stroked="f" insetpen="t" o:cliptowrap="t">
          <v:imagedata r:id="rId1" o:title="" croptop="1551f" cropbottom="1334f" cropleft="2134f" cropright="1940f"/>
          <v:path o:extrusionok="f"/>
          <o:lock v:ext="edit" aspectratio="t"/>
        </v:rect>
        <o:OLEObject Type="Embed" ProgID="Acrobat.Document.DC" ShapeID="_x0000_s1025" DrawAspect="Content" ObjectID="_182921879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884"/>
    <w:multiLevelType w:val="hybridMultilevel"/>
    <w:tmpl w:val="B484B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70644"/>
    <w:multiLevelType w:val="hybridMultilevel"/>
    <w:tmpl w:val="E892B952"/>
    <w:lvl w:ilvl="0" w:tplc="0952F8AE">
      <w:start w:val="1"/>
      <w:numFmt w:val="decimal"/>
      <w:lvlText w:val="%1."/>
      <w:lvlJc w:val="left"/>
      <w:pPr>
        <w:ind w:left="792" w:hanging="360"/>
      </w:pPr>
      <w:rPr>
        <w:i/>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 w15:restartNumberingAfterBreak="0">
    <w:nsid w:val="09ED7543"/>
    <w:multiLevelType w:val="multilevel"/>
    <w:tmpl w:val="D69A5C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B5580E"/>
    <w:multiLevelType w:val="hybridMultilevel"/>
    <w:tmpl w:val="AEDA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35B23"/>
    <w:multiLevelType w:val="hybridMultilevel"/>
    <w:tmpl w:val="2758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B1283"/>
    <w:multiLevelType w:val="multilevel"/>
    <w:tmpl w:val="D87CC9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5237AAC"/>
    <w:multiLevelType w:val="multilevel"/>
    <w:tmpl w:val="79982D5C"/>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1.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726507"/>
    <w:multiLevelType w:val="hybridMultilevel"/>
    <w:tmpl w:val="15AA92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C40A1"/>
    <w:multiLevelType w:val="hybridMultilevel"/>
    <w:tmpl w:val="2E1A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035F7"/>
    <w:multiLevelType w:val="hybridMultilevel"/>
    <w:tmpl w:val="1B64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657EE"/>
    <w:multiLevelType w:val="hybridMultilevel"/>
    <w:tmpl w:val="3C7A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22483"/>
    <w:multiLevelType w:val="hybridMultilevel"/>
    <w:tmpl w:val="DD32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12161"/>
    <w:multiLevelType w:val="hybridMultilevel"/>
    <w:tmpl w:val="73A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87ABA"/>
    <w:multiLevelType w:val="hybridMultilevel"/>
    <w:tmpl w:val="2C4A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044F6"/>
    <w:multiLevelType w:val="hybridMultilevel"/>
    <w:tmpl w:val="954E7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4B43BB"/>
    <w:multiLevelType w:val="hybridMultilevel"/>
    <w:tmpl w:val="30743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7465B"/>
    <w:multiLevelType w:val="hybridMultilevel"/>
    <w:tmpl w:val="CA74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556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B57D22"/>
    <w:multiLevelType w:val="multilevel"/>
    <w:tmpl w:val="88AC8F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AD6335"/>
    <w:multiLevelType w:val="hybridMultilevel"/>
    <w:tmpl w:val="1C5E8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927F3"/>
    <w:multiLevelType w:val="hybridMultilevel"/>
    <w:tmpl w:val="B390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52C67"/>
    <w:multiLevelType w:val="hybridMultilevel"/>
    <w:tmpl w:val="4B7C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C3296"/>
    <w:multiLevelType w:val="hybridMultilevel"/>
    <w:tmpl w:val="AA1E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94F1C"/>
    <w:multiLevelType w:val="multilevel"/>
    <w:tmpl w:val="DCC064D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D4368"/>
    <w:multiLevelType w:val="hybridMultilevel"/>
    <w:tmpl w:val="7CBC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77700"/>
    <w:multiLevelType w:val="hybridMultilevel"/>
    <w:tmpl w:val="FC528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77209"/>
    <w:multiLevelType w:val="multilevel"/>
    <w:tmpl w:val="671AC3E4"/>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2B0665"/>
    <w:multiLevelType w:val="multilevel"/>
    <w:tmpl w:val="FB28B3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7752B5"/>
    <w:multiLevelType w:val="hybridMultilevel"/>
    <w:tmpl w:val="DEC48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F336BC"/>
    <w:multiLevelType w:val="hybridMultilevel"/>
    <w:tmpl w:val="1BD8AD1C"/>
    <w:lvl w:ilvl="0" w:tplc="9558EFCC">
      <w:start w:val="1"/>
      <w:numFmt w:val="decimal"/>
      <w:lvlText w:val="%1."/>
      <w:lvlJc w:val="lef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BE4C63"/>
    <w:multiLevelType w:val="multilevel"/>
    <w:tmpl w:val="874046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34F215D"/>
    <w:multiLevelType w:val="multilevel"/>
    <w:tmpl w:val="6E7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D7A7B"/>
    <w:multiLevelType w:val="hybridMultilevel"/>
    <w:tmpl w:val="51D48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B53126"/>
    <w:multiLevelType w:val="hybridMultilevel"/>
    <w:tmpl w:val="1BD8AD1C"/>
    <w:lvl w:ilvl="0" w:tplc="9558EFCC">
      <w:start w:val="1"/>
      <w:numFmt w:val="decimal"/>
      <w:lvlText w:val="%1."/>
      <w:lvlJc w:val="lef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09544F"/>
    <w:multiLevelType w:val="hybridMultilevel"/>
    <w:tmpl w:val="1E28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9634B"/>
    <w:multiLevelType w:val="multilevel"/>
    <w:tmpl w:val="F44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5011D"/>
    <w:multiLevelType w:val="hybridMultilevel"/>
    <w:tmpl w:val="E892B952"/>
    <w:lvl w:ilvl="0" w:tplc="0952F8AE">
      <w:start w:val="1"/>
      <w:numFmt w:val="decimal"/>
      <w:lvlText w:val="%1."/>
      <w:lvlJc w:val="left"/>
      <w:pPr>
        <w:ind w:left="792" w:hanging="360"/>
      </w:pPr>
      <w:rPr>
        <w:i/>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7" w15:restartNumberingAfterBreak="0">
    <w:nsid w:val="722424D3"/>
    <w:multiLevelType w:val="hybridMultilevel"/>
    <w:tmpl w:val="FB5A4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266136"/>
    <w:multiLevelType w:val="hybridMultilevel"/>
    <w:tmpl w:val="65E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4A504B"/>
    <w:multiLevelType w:val="multilevel"/>
    <w:tmpl w:val="439075D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81344E2"/>
    <w:multiLevelType w:val="multilevel"/>
    <w:tmpl w:val="CE3E950E"/>
    <w:lvl w:ilvl="0">
      <w:start w:val="1"/>
      <w:numFmt w:val="none"/>
      <w:lvlText w:val="2.1."/>
      <w:lvlJc w:val="left"/>
      <w:pPr>
        <w:ind w:left="360" w:hanging="360"/>
      </w:pPr>
      <w:rPr>
        <w:rFonts w:hint="default"/>
      </w:rPr>
    </w:lvl>
    <w:lvl w:ilvl="1">
      <w:start w:val="1"/>
      <w:numFmt w:val="decimal"/>
      <w:lvlText w:val="%1.%2."/>
      <w:lvlJc w:val="left"/>
      <w:pPr>
        <w:ind w:left="792" w:hanging="432"/>
      </w:pPr>
      <w:rPr>
        <w:rFonts w:ascii="Arial" w:hAnsi="Arial" w:cs="Arial" w:hint="default"/>
        <w:sz w:val="22"/>
        <w:szCs w:val="22"/>
      </w:rPr>
    </w:lvl>
    <w:lvl w:ilvl="2">
      <w:start w:val="1"/>
      <w:numFmt w:val="decimal"/>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2075045">
    <w:abstractNumId w:val="39"/>
  </w:num>
  <w:num w:numId="2" w16cid:durableId="1374427606">
    <w:abstractNumId w:val="23"/>
  </w:num>
  <w:num w:numId="3" w16cid:durableId="1856847797">
    <w:abstractNumId w:val="8"/>
  </w:num>
  <w:num w:numId="4" w16cid:durableId="187640821">
    <w:abstractNumId w:val="14"/>
  </w:num>
  <w:num w:numId="5" w16cid:durableId="1717506486">
    <w:abstractNumId w:val="12"/>
  </w:num>
  <w:num w:numId="6" w16cid:durableId="1530143069">
    <w:abstractNumId w:val="10"/>
  </w:num>
  <w:num w:numId="7" w16cid:durableId="1486317413">
    <w:abstractNumId w:val="3"/>
  </w:num>
  <w:num w:numId="8" w16cid:durableId="1609191660">
    <w:abstractNumId w:val="9"/>
  </w:num>
  <w:num w:numId="9" w16cid:durableId="2104061826">
    <w:abstractNumId w:val="21"/>
  </w:num>
  <w:num w:numId="10" w16cid:durableId="1130129355">
    <w:abstractNumId w:val="15"/>
  </w:num>
  <w:num w:numId="11" w16cid:durableId="1104881201">
    <w:abstractNumId w:val="11"/>
  </w:num>
  <w:num w:numId="12" w16cid:durableId="959579342">
    <w:abstractNumId w:val="34"/>
  </w:num>
  <w:num w:numId="13" w16cid:durableId="396438443">
    <w:abstractNumId w:val="16"/>
  </w:num>
  <w:num w:numId="14" w16cid:durableId="415053521">
    <w:abstractNumId w:val="13"/>
  </w:num>
  <w:num w:numId="15" w16cid:durableId="1038623217">
    <w:abstractNumId w:val="4"/>
  </w:num>
  <w:num w:numId="16" w16cid:durableId="1003893238">
    <w:abstractNumId w:val="32"/>
  </w:num>
  <w:num w:numId="17" w16cid:durableId="1623606860">
    <w:abstractNumId w:val="20"/>
  </w:num>
  <w:num w:numId="18" w16cid:durableId="852499454">
    <w:abstractNumId w:val="30"/>
  </w:num>
  <w:num w:numId="19" w16cid:durableId="221334384">
    <w:abstractNumId w:val="5"/>
  </w:num>
  <w:num w:numId="20" w16cid:durableId="1751121993">
    <w:abstractNumId w:val="24"/>
  </w:num>
  <w:num w:numId="21" w16cid:durableId="1166435234">
    <w:abstractNumId w:val="25"/>
  </w:num>
  <w:num w:numId="22" w16cid:durableId="138618835">
    <w:abstractNumId w:val="26"/>
  </w:num>
  <w:num w:numId="23" w16cid:durableId="1549877071">
    <w:abstractNumId w:val="18"/>
  </w:num>
  <w:num w:numId="24" w16cid:durableId="140201234">
    <w:abstractNumId w:val="27"/>
  </w:num>
  <w:num w:numId="25" w16cid:durableId="34896163">
    <w:abstractNumId w:val="40"/>
  </w:num>
  <w:num w:numId="26" w16cid:durableId="95255024">
    <w:abstractNumId w:val="2"/>
  </w:num>
  <w:num w:numId="27" w16cid:durableId="804197621">
    <w:abstractNumId w:val="6"/>
  </w:num>
  <w:num w:numId="28" w16cid:durableId="1400320624">
    <w:abstractNumId w:val="17"/>
  </w:num>
  <w:num w:numId="29" w16cid:durableId="1638947287">
    <w:abstractNumId w:val="33"/>
  </w:num>
  <w:num w:numId="30" w16cid:durableId="1647128589">
    <w:abstractNumId w:val="36"/>
  </w:num>
  <w:num w:numId="31" w16cid:durableId="675038675">
    <w:abstractNumId w:val="38"/>
  </w:num>
  <w:num w:numId="32" w16cid:durableId="717752357">
    <w:abstractNumId w:val="7"/>
  </w:num>
  <w:num w:numId="33" w16cid:durableId="251941409">
    <w:abstractNumId w:val="1"/>
  </w:num>
  <w:num w:numId="34" w16cid:durableId="868565822">
    <w:abstractNumId w:val="29"/>
  </w:num>
  <w:num w:numId="35" w16cid:durableId="1160730768">
    <w:abstractNumId w:val="37"/>
  </w:num>
  <w:num w:numId="36" w16cid:durableId="903881574">
    <w:abstractNumId w:val="22"/>
  </w:num>
  <w:num w:numId="37" w16cid:durableId="1709447929">
    <w:abstractNumId w:val="0"/>
  </w:num>
  <w:num w:numId="38" w16cid:durableId="444426810">
    <w:abstractNumId w:val="35"/>
  </w:num>
  <w:num w:numId="39" w16cid:durableId="970096444">
    <w:abstractNumId w:val="31"/>
  </w:num>
  <w:num w:numId="40" w16cid:durableId="368996509">
    <w:abstractNumId w:val="19"/>
  </w:num>
  <w:num w:numId="41" w16cid:durableId="796408257">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B3"/>
    <w:rsid w:val="00003E1B"/>
    <w:rsid w:val="0003526E"/>
    <w:rsid w:val="00042631"/>
    <w:rsid w:val="00057099"/>
    <w:rsid w:val="000700A3"/>
    <w:rsid w:val="00076608"/>
    <w:rsid w:val="00086B00"/>
    <w:rsid w:val="00093494"/>
    <w:rsid w:val="000C30FF"/>
    <w:rsid w:val="000C7198"/>
    <w:rsid w:val="000D108E"/>
    <w:rsid w:val="000E1B31"/>
    <w:rsid w:val="000E667C"/>
    <w:rsid w:val="001208AF"/>
    <w:rsid w:val="00124CFF"/>
    <w:rsid w:val="001309D9"/>
    <w:rsid w:val="001478BA"/>
    <w:rsid w:val="00154CA0"/>
    <w:rsid w:val="00180C70"/>
    <w:rsid w:val="001A6000"/>
    <w:rsid w:val="001B58ED"/>
    <w:rsid w:val="001B59D7"/>
    <w:rsid w:val="001D0BE1"/>
    <w:rsid w:val="00221605"/>
    <w:rsid w:val="00221BB4"/>
    <w:rsid w:val="00235DAC"/>
    <w:rsid w:val="00236098"/>
    <w:rsid w:val="0024558C"/>
    <w:rsid w:val="00247036"/>
    <w:rsid w:val="002506ED"/>
    <w:rsid w:val="00255E8E"/>
    <w:rsid w:val="002725ED"/>
    <w:rsid w:val="00286C02"/>
    <w:rsid w:val="00296FF1"/>
    <w:rsid w:val="002A5C52"/>
    <w:rsid w:val="002A62EC"/>
    <w:rsid w:val="002C2D26"/>
    <w:rsid w:val="002E57FD"/>
    <w:rsid w:val="00302E8C"/>
    <w:rsid w:val="00307932"/>
    <w:rsid w:val="003365C5"/>
    <w:rsid w:val="00336E56"/>
    <w:rsid w:val="00340F35"/>
    <w:rsid w:val="00355385"/>
    <w:rsid w:val="00363BAF"/>
    <w:rsid w:val="00375877"/>
    <w:rsid w:val="00381728"/>
    <w:rsid w:val="003862D7"/>
    <w:rsid w:val="00386BB1"/>
    <w:rsid w:val="00393A0E"/>
    <w:rsid w:val="003D0E8B"/>
    <w:rsid w:val="003F5C9A"/>
    <w:rsid w:val="00400AF6"/>
    <w:rsid w:val="00400E8F"/>
    <w:rsid w:val="00413D40"/>
    <w:rsid w:val="004249AA"/>
    <w:rsid w:val="0043722E"/>
    <w:rsid w:val="004533B9"/>
    <w:rsid w:val="00460009"/>
    <w:rsid w:val="00471699"/>
    <w:rsid w:val="00483CAD"/>
    <w:rsid w:val="004B4E46"/>
    <w:rsid w:val="004D7035"/>
    <w:rsid w:val="004E4968"/>
    <w:rsid w:val="00501DC4"/>
    <w:rsid w:val="005127B4"/>
    <w:rsid w:val="00530416"/>
    <w:rsid w:val="005431C4"/>
    <w:rsid w:val="00552BB1"/>
    <w:rsid w:val="005600E2"/>
    <w:rsid w:val="005609B9"/>
    <w:rsid w:val="00566003"/>
    <w:rsid w:val="0057137F"/>
    <w:rsid w:val="00574011"/>
    <w:rsid w:val="00574748"/>
    <w:rsid w:val="005A54B3"/>
    <w:rsid w:val="005B36E7"/>
    <w:rsid w:val="005E285B"/>
    <w:rsid w:val="005F788B"/>
    <w:rsid w:val="00615E50"/>
    <w:rsid w:val="00630BB9"/>
    <w:rsid w:val="00647A59"/>
    <w:rsid w:val="006665AF"/>
    <w:rsid w:val="0068407E"/>
    <w:rsid w:val="006848EB"/>
    <w:rsid w:val="00687560"/>
    <w:rsid w:val="006932FB"/>
    <w:rsid w:val="006B31C2"/>
    <w:rsid w:val="006C6A20"/>
    <w:rsid w:val="006D4E94"/>
    <w:rsid w:val="006F37E7"/>
    <w:rsid w:val="006F5C15"/>
    <w:rsid w:val="00705877"/>
    <w:rsid w:val="00710320"/>
    <w:rsid w:val="0071446D"/>
    <w:rsid w:val="00722647"/>
    <w:rsid w:val="00744854"/>
    <w:rsid w:val="00750B43"/>
    <w:rsid w:val="00794918"/>
    <w:rsid w:val="007A518D"/>
    <w:rsid w:val="007A7A0C"/>
    <w:rsid w:val="007B33FB"/>
    <w:rsid w:val="007E1ED3"/>
    <w:rsid w:val="007E5739"/>
    <w:rsid w:val="0080133A"/>
    <w:rsid w:val="00805B32"/>
    <w:rsid w:val="00811E8B"/>
    <w:rsid w:val="0083147D"/>
    <w:rsid w:val="00833E89"/>
    <w:rsid w:val="00837A5E"/>
    <w:rsid w:val="00847928"/>
    <w:rsid w:val="00854F79"/>
    <w:rsid w:val="0088568C"/>
    <w:rsid w:val="008931A9"/>
    <w:rsid w:val="008D5079"/>
    <w:rsid w:val="008D7D41"/>
    <w:rsid w:val="00903E38"/>
    <w:rsid w:val="00904B88"/>
    <w:rsid w:val="00907C52"/>
    <w:rsid w:val="00910AA4"/>
    <w:rsid w:val="009150FC"/>
    <w:rsid w:val="00923305"/>
    <w:rsid w:val="00932461"/>
    <w:rsid w:val="009452A9"/>
    <w:rsid w:val="00955933"/>
    <w:rsid w:val="00956A11"/>
    <w:rsid w:val="0096510A"/>
    <w:rsid w:val="009664A6"/>
    <w:rsid w:val="00967550"/>
    <w:rsid w:val="00985F49"/>
    <w:rsid w:val="009B7229"/>
    <w:rsid w:val="009D3840"/>
    <w:rsid w:val="009D500F"/>
    <w:rsid w:val="009D5953"/>
    <w:rsid w:val="009E0692"/>
    <w:rsid w:val="009E7052"/>
    <w:rsid w:val="009E72EB"/>
    <w:rsid w:val="009F509B"/>
    <w:rsid w:val="00A36431"/>
    <w:rsid w:val="00A36CDC"/>
    <w:rsid w:val="00A43586"/>
    <w:rsid w:val="00A61DD6"/>
    <w:rsid w:val="00A72258"/>
    <w:rsid w:val="00A90E25"/>
    <w:rsid w:val="00AA4E6A"/>
    <w:rsid w:val="00AA4F77"/>
    <w:rsid w:val="00AB4B2C"/>
    <w:rsid w:val="00AC4B7B"/>
    <w:rsid w:val="00AD72E8"/>
    <w:rsid w:val="00AF38A4"/>
    <w:rsid w:val="00AF53BF"/>
    <w:rsid w:val="00B010CA"/>
    <w:rsid w:val="00B0484E"/>
    <w:rsid w:val="00B11884"/>
    <w:rsid w:val="00B764D3"/>
    <w:rsid w:val="00B80125"/>
    <w:rsid w:val="00B86E2D"/>
    <w:rsid w:val="00BB40E5"/>
    <w:rsid w:val="00BC6603"/>
    <w:rsid w:val="00BC786A"/>
    <w:rsid w:val="00BE7E10"/>
    <w:rsid w:val="00BF405A"/>
    <w:rsid w:val="00C051A3"/>
    <w:rsid w:val="00C1067F"/>
    <w:rsid w:val="00C11396"/>
    <w:rsid w:val="00C244C0"/>
    <w:rsid w:val="00C5416F"/>
    <w:rsid w:val="00C64BE5"/>
    <w:rsid w:val="00C7279B"/>
    <w:rsid w:val="00C727C5"/>
    <w:rsid w:val="00C77614"/>
    <w:rsid w:val="00C90CF9"/>
    <w:rsid w:val="00C94D37"/>
    <w:rsid w:val="00C96409"/>
    <w:rsid w:val="00CA6664"/>
    <w:rsid w:val="00CB59F7"/>
    <w:rsid w:val="00CD28A4"/>
    <w:rsid w:val="00CF17FB"/>
    <w:rsid w:val="00CF2FA5"/>
    <w:rsid w:val="00D02FEA"/>
    <w:rsid w:val="00D071AD"/>
    <w:rsid w:val="00D2766A"/>
    <w:rsid w:val="00D37545"/>
    <w:rsid w:val="00D460A3"/>
    <w:rsid w:val="00D52A83"/>
    <w:rsid w:val="00D73D63"/>
    <w:rsid w:val="00D754D7"/>
    <w:rsid w:val="00D83E1F"/>
    <w:rsid w:val="00DB5AA0"/>
    <w:rsid w:val="00DB61F6"/>
    <w:rsid w:val="00DC72ED"/>
    <w:rsid w:val="00DC7F66"/>
    <w:rsid w:val="00DD5E8A"/>
    <w:rsid w:val="00DE1BD4"/>
    <w:rsid w:val="00DF5178"/>
    <w:rsid w:val="00E21001"/>
    <w:rsid w:val="00E215D0"/>
    <w:rsid w:val="00E40694"/>
    <w:rsid w:val="00E63006"/>
    <w:rsid w:val="00E86467"/>
    <w:rsid w:val="00E91579"/>
    <w:rsid w:val="00E95088"/>
    <w:rsid w:val="00EA5394"/>
    <w:rsid w:val="00EB7F3A"/>
    <w:rsid w:val="00ED6A7E"/>
    <w:rsid w:val="00ED7B47"/>
    <w:rsid w:val="00F022DA"/>
    <w:rsid w:val="00F34570"/>
    <w:rsid w:val="00F42B31"/>
    <w:rsid w:val="00F52A1E"/>
    <w:rsid w:val="00F53119"/>
    <w:rsid w:val="00F616D7"/>
    <w:rsid w:val="00F644C9"/>
    <w:rsid w:val="00F6558D"/>
    <w:rsid w:val="00F908F8"/>
    <w:rsid w:val="00F969C0"/>
    <w:rsid w:val="00F97859"/>
    <w:rsid w:val="00FA668C"/>
    <w:rsid w:val="00FA7BAC"/>
    <w:rsid w:val="00FB5089"/>
    <w:rsid w:val="00FC3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D53E72"/>
  <w15:docId w15:val="{8AC5B596-018E-4008-AAFC-A134231F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B88"/>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4B88"/>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04B88"/>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4B8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04B8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04B8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04B8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04B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4B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928"/>
    <w:pPr>
      <w:ind w:left="720"/>
      <w:contextualSpacing/>
    </w:pPr>
  </w:style>
  <w:style w:type="paragraph" w:styleId="NormalWeb">
    <w:name w:val="Normal (Web)"/>
    <w:basedOn w:val="Normal"/>
    <w:uiPriority w:val="99"/>
    <w:unhideWhenUsed/>
    <w:rsid w:val="006875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96FF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178"/>
    <w:rPr>
      <w:rFonts w:ascii="Tahoma" w:hAnsi="Tahoma" w:cs="Tahoma"/>
      <w:sz w:val="16"/>
      <w:szCs w:val="16"/>
    </w:rPr>
  </w:style>
  <w:style w:type="paragraph" w:styleId="Header">
    <w:name w:val="header"/>
    <w:basedOn w:val="Normal"/>
    <w:link w:val="HeaderChar"/>
    <w:uiPriority w:val="99"/>
    <w:unhideWhenUsed/>
    <w:rsid w:val="00893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1A9"/>
  </w:style>
  <w:style w:type="paragraph" w:styleId="Footer">
    <w:name w:val="footer"/>
    <w:basedOn w:val="Normal"/>
    <w:link w:val="FooterChar"/>
    <w:uiPriority w:val="99"/>
    <w:unhideWhenUsed/>
    <w:rsid w:val="00893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1A9"/>
  </w:style>
  <w:style w:type="character" w:customStyle="1" w:styleId="Heading1Char">
    <w:name w:val="Heading 1 Char"/>
    <w:basedOn w:val="DefaultParagraphFont"/>
    <w:link w:val="Heading1"/>
    <w:uiPriority w:val="9"/>
    <w:rsid w:val="00904B8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04B8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04B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04B8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04B8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04B8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04B8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04B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4B8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3147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TOC1">
    <w:name w:val="toc 1"/>
    <w:basedOn w:val="Normal"/>
    <w:next w:val="Normal"/>
    <w:autoRedefine/>
    <w:uiPriority w:val="39"/>
    <w:unhideWhenUsed/>
    <w:rsid w:val="0083147D"/>
    <w:pPr>
      <w:spacing w:after="120" w:line="240" w:lineRule="auto"/>
    </w:pPr>
    <w:rPr>
      <w:rFonts w:ascii="Calibri" w:eastAsia="Times New Roman" w:hAnsi="Calibri" w:cs="Times New Roman"/>
      <w:b/>
      <w:szCs w:val="24"/>
    </w:rPr>
  </w:style>
  <w:style w:type="character" w:styleId="Hyperlink">
    <w:name w:val="Hyperlink"/>
    <w:uiPriority w:val="99"/>
    <w:unhideWhenUsed/>
    <w:rsid w:val="0083147D"/>
    <w:rPr>
      <w:color w:val="0000FF"/>
      <w:u w:val="single"/>
    </w:rPr>
  </w:style>
  <w:style w:type="paragraph" w:styleId="TOCHeading">
    <w:name w:val="TOC Heading"/>
    <w:basedOn w:val="Heading1"/>
    <w:next w:val="Normal"/>
    <w:uiPriority w:val="39"/>
    <w:unhideWhenUsed/>
    <w:qFormat/>
    <w:rsid w:val="0083147D"/>
    <w:pPr>
      <w:numPr>
        <w:numId w:val="0"/>
      </w:numPr>
      <w:spacing w:before="480"/>
      <w:outlineLvl w:val="9"/>
    </w:pPr>
    <w:rPr>
      <w:rFonts w:ascii="Cambria" w:eastAsia="MS Gothic" w:hAnsi="Cambria" w:cs="Times New Roman"/>
      <w:b/>
      <w:bCs/>
      <w:color w:val="365F91"/>
      <w:sz w:val="28"/>
      <w:szCs w:val="28"/>
      <w:lang w:val="en-US" w:eastAsia="ja-JP"/>
    </w:rPr>
  </w:style>
  <w:style w:type="paragraph" w:styleId="FootnoteText">
    <w:name w:val="footnote text"/>
    <w:basedOn w:val="Normal"/>
    <w:link w:val="FootnoteTextChar"/>
    <w:uiPriority w:val="99"/>
    <w:semiHidden/>
    <w:unhideWhenUsed/>
    <w:rsid w:val="001309D9"/>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1309D9"/>
    <w:rPr>
      <w:rFonts w:ascii="Calibri" w:eastAsia="Calibri" w:hAnsi="Calibri" w:cs="Times New Roman"/>
      <w:sz w:val="20"/>
      <w:szCs w:val="20"/>
      <w:lang w:eastAsia="en-US"/>
    </w:rPr>
  </w:style>
  <w:style w:type="character" w:styleId="FootnoteReference">
    <w:name w:val="footnote reference"/>
    <w:uiPriority w:val="99"/>
    <w:semiHidden/>
    <w:unhideWhenUsed/>
    <w:rsid w:val="001309D9"/>
    <w:rPr>
      <w:vertAlign w:val="superscript"/>
    </w:rPr>
  </w:style>
  <w:style w:type="paragraph" w:styleId="TOC2">
    <w:name w:val="toc 2"/>
    <w:basedOn w:val="Normal"/>
    <w:next w:val="Normal"/>
    <w:autoRedefine/>
    <w:uiPriority w:val="39"/>
    <w:unhideWhenUsed/>
    <w:rsid w:val="00F908F8"/>
    <w:pPr>
      <w:spacing w:after="100"/>
      <w:ind w:left="220"/>
    </w:pPr>
  </w:style>
  <w:style w:type="character" w:styleId="Strong">
    <w:name w:val="Strong"/>
    <w:basedOn w:val="DefaultParagraphFont"/>
    <w:uiPriority w:val="22"/>
    <w:qFormat/>
    <w:rsid w:val="006F37E7"/>
    <w:rPr>
      <w:b/>
      <w:bCs/>
    </w:rPr>
  </w:style>
  <w:style w:type="paragraph" w:customStyle="1" w:styleId="western">
    <w:name w:val="western"/>
    <w:basedOn w:val="Normal"/>
    <w:rsid w:val="006F37E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A7BAC"/>
    <w:pPr>
      <w:spacing w:after="0" w:line="240" w:lineRule="auto"/>
    </w:pPr>
  </w:style>
  <w:style w:type="paragraph" w:styleId="Revision">
    <w:name w:val="Revision"/>
    <w:hidden/>
    <w:uiPriority w:val="99"/>
    <w:semiHidden/>
    <w:rsid w:val="004E4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74255">
      <w:bodyDiv w:val="1"/>
      <w:marLeft w:val="0"/>
      <w:marRight w:val="0"/>
      <w:marTop w:val="0"/>
      <w:marBottom w:val="0"/>
      <w:divBdr>
        <w:top w:val="none" w:sz="0" w:space="0" w:color="auto"/>
        <w:left w:val="none" w:sz="0" w:space="0" w:color="auto"/>
        <w:bottom w:val="none" w:sz="0" w:space="0" w:color="auto"/>
        <w:right w:val="none" w:sz="0" w:space="0" w:color="auto"/>
      </w:divBdr>
      <w:divsChild>
        <w:div w:id="1191407270">
          <w:marLeft w:val="0"/>
          <w:marRight w:val="0"/>
          <w:marTop w:val="0"/>
          <w:marBottom w:val="0"/>
          <w:divBdr>
            <w:top w:val="none" w:sz="0" w:space="0" w:color="auto"/>
            <w:left w:val="none" w:sz="0" w:space="0" w:color="auto"/>
            <w:bottom w:val="none" w:sz="0" w:space="0" w:color="auto"/>
            <w:right w:val="none" w:sz="0" w:space="0" w:color="auto"/>
          </w:divBdr>
          <w:divsChild>
            <w:div w:id="2078237428">
              <w:marLeft w:val="0"/>
              <w:marRight w:val="0"/>
              <w:marTop w:val="300"/>
              <w:marBottom w:val="0"/>
              <w:divBdr>
                <w:top w:val="none" w:sz="0" w:space="0" w:color="auto"/>
                <w:left w:val="none" w:sz="0" w:space="0" w:color="auto"/>
                <w:bottom w:val="none" w:sz="0" w:space="0" w:color="auto"/>
                <w:right w:val="none" w:sz="0" w:space="0" w:color="auto"/>
              </w:divBdr>
              <w:divsChild>
                <w:div w:id="1075736473">
                  <w:marLeft w:val="0"/>
                  <w:marRight w:val="0"/>
                  <w:marTop w:val="0"/>
                  <w:marBottom w:val="0"/>
                  <w:divBdr>
                    <w:top w:val="none" w:sz="0" w:space="0" w:color="auto"/>
                    <w:left w:val="none" w:sz="0" w:space="0" w:color="auto"/>
                    <w:bottom w:val="none" w:sz="0" w:space="0" w:color="auto"/>
                    <w:right w:val="none" w:sz="0" w:space="0" w:color="auto"/>
                  </w:divBdr>
                  <w:divsChild>
                    <w:div w:id="1013728406">
                      <w:marLeft w:val="0"/>
                      <w:marRight w:val="0"/>
                      <w:marTop w:val="0"/>
                      <w:marBottom w:val="0"/>
                      <w:divBdr>
                        <w:top w:val="none" w:sz="0" w:space="0" w:color="auto"/>
                        <w:left w:val="none" w:sz="0" w:space="0" w:color="auto"/>
                        <w:bottom w:val="none" w:sz="0" w:space="0" w:color="auto"/>
                        <w:right w:val="none" w:sz="0" w:space="0" w:color="auto"/>
                      </w:divBdr>
                      <w:divsChild>
                        <w:div w:id="1189177635">
                          <w:marLeft w:val="0"/>
                          <w:marRight w:val="0"/>
                          <w:marTop w:val="0"/>
                          <w:marBottom w:val="0"/>
                          <w:divBdr>
                            <w:top w:val="none" w:sz="0" w:space="0" w:color="auto"/>
                            <w:left w:val="none" w:sz="0" w:space="0" w:color="auto"/>
                            <w:bottom w:val="none" w:sz="0" w:space="0" w:color="auto"/>
                            <w:right w:val="none" w:sz="0" w:space="0" w:color="auto"/>
                          </w:divBdr>
                          <w:divsChild>
                            <w:div w:id="723484516">
                              <w:marLeft w:val="0"/>
                              <w:marRight w:val="0"/>
                              <w:marTop w:val="0"/>
                              <w:marBottom w:val="300"/>
                              <w:divBdr>
                                <w:top w:val="none" w:sz="0" w:space="0" w:color="auto"/>
                                <w:left w:val="none" w:sz="0" w:space="0" w:color="auto"/>
                                <w:bottom w:val="none" w:sz="0" w:space="0" w:color="auto"/>
                                <w:right w:val="none" w:sz="0" w:space="0" w:color="auto"/>
                              </w:divBdr>
                            </w:div>
                          </w:divsChild>
                        </w:div>
                        <w:div w:id="373694479">
                          <w:marLeft w:val="0"/>
                          <w:marRight w:val="0"/>
                          <w:marTop w:val="0"/>
                          <w:marBottom w:val="0"/>
                          <w:divBdr>
                            <w:top w:val="none" w:sz="0" w:space="0" w:color="auto"/>
                            <w:left w:val="none" w:sz="0" w:space="0" w:color="auto"/>
                            <w:bottom w:val="none" w:sz="0" w:space="0" w:color="auto"/>
                            <w:right w:val="none" w:sz="0" w:space="0" w:color="auto"/>
                          </w:divBdr>
                        </w:div>
                        <w:div w:id="15835619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25812212">
      <w:bodyDiv w:val="1"/>
      <w:marLeft w:val="0"/>
      <w:marRight w:val="0"/>
      <w:marTop w:val="0"/>
      <w:marBottom w:val="0"/>
      <w:divBdr>
        <w:top w:val="none" w:sz="0" w:space="0" w:color="auto"/>
        <w:left w:val="none" w:sz="0" w:space="0" w:color="auto"/>
        <w:bottom w:val="none" w:sz="0" w:space="0" w:color="auto"/>
        <w:right w:val="none" w:sz="0" w:space="0" w:color="auto"/>
      </w:divBdr>
    </w:div>
    <w:div w:id="509639159">
      <w:bodyDiv w:val="1"/>
      <w:marLeft w:val="0"/>
      <w:marRight w:val="0"/>
      <w:marTop w:val="0"/>
      <w:marBottom w:val="0"/>
      <w:divBdr>
        <w:top w:val="none" w:sz="0" w:space="0" w:color="auto"/>
        <w:left w:val="none" w:sz="0" w:space="0" w:color="auto"/>
        <w:bottom w:val="none" w:sz="0" w:space="0" w:color="auto"/>
        <w:right w:val="none" w:sz="0" w:space="0" w:color="auto"/>
      </w:divBdr>
      <w:divsChild>
        <w:div w:id="1163083584">
          <w:marLeft w:val="0"/>
          <w:marRight w:val="0"/>
          <w:marTop w:val="0"/>
          <w:marBottom w:val="0"/>
          <w:divBdr>
            <w:top w:val="none" w:sz="0" w:space="0" w:color="auto"/>
            <w:left w:val="none" w:sz="0" w:space="0" w:color="auto"/>
            <w:bottom w:val="none" w:sz="0" w:space="0" w:color="auto"/>
            <w:right w:val="none" w:sz="0" w:space="0" w:color="auto"/>
          </w:divBdr>
          <w:divsChild>
            <w:div w:id="963386268">
              <w:marLeft w:val="0"/>
              <w:marRight w:val="0"/>
              <w:marTop w:val="0"/>
              <w:marBottom w:val="0"/>
              <w:divBdr>
                <w:top w:val="none" w:sz="0" w:space="0" w:color="auto"/>
                <w:left w:val="none" w:sz="0" w:space="0" w:color="auto"/>
                <w:bottom w:val="none" w:sz="0" w:space="0" w:color="auto"/>
                <w:right w:val="none" w:sz="0" w:space="0" w:color="auto"/>
              </w:divBdr>
              <w:divsChild>
                <w:div w:id="219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12243">
      <w:bodyDiv w:val="1"/>
      <w:marLeft w:val="0"/>
      <w:marRight w:val="0"/>
      <w:marTop w:val="0"/>
      <w:marBottom w:val="0"/>
      <w:divBdr>
        <w:top w:val="none" w:sz="0" w:space="0" w:color="auto"/>
        <w:left w:val="none" w:sz="0" w:space="0" w:color="auto"/>
        <w:bottom w:val="none" w:sz="0" w:space="0" w:color="auto"/>
        <w:right w:val="none" w:sz="0" w:space="0" w:color="auto"/>
      </w:divBdr>
    </w:div>
    <w:div w:id="998771471">
      <w:bodyDiv w:val="1"/>
      <w:marLeft w:val="0"/>
      <w:marRight w:val="0"/>
      <w:marTop w:val="0"/>
      <w:marBottom w:val="0"/>
      <w:divBdr>
        <w:top w:val="none" w:sz="0" w:space="0" w:color="auto"/>
        <w:left w:val="none" w:sz="0" w:space="0" w:color="auto"/>
        <w:bottom w:val="none" w:sz="0" w:space="0" w:color="auto"/>
        <w:right w:val="none" w:sz="0" w:space="0" w:color="auto"/>
      </w:divBdr>
    </w:div>
    <w:div w:id="1238592965">
      <w:bodyDiv w:val="1"/>
      <w:marLeft w:val="0"/>
      <w:marRight w:val="0"/>
      <w:marTop w:val="0"/>
      <w:marBottom w:val="0"/>
      <w:divBdr>
        <w:top w:val="none" w:sz="0" w:space="0" w:color="auto"/>
        <w:left w:val="none" w:sz="0" w:space="0" w:color="auto"/>
        <w:bottom w:val="none" w:sz="0" w:space="0" w:color="auto"/>
        <w:right w:val="none" w:sz="0" w:space="0" w:color="auto"/>
      </w:divBdr>
      <w:divsChild>
        <w:div w:id="426853563">
          <w:marLeft w:val="0"/>
          <w:marRight w:val="0"/>
          <w:marTop w:val="0"/>
          <w:marBottom w:val="0"/>
          <w:divBdr>
            <w:top w:val="none" w:sz="0" w:space="0" w:color="auto"/>
            <w:left w:val="none" w:sz="0" w:space="0" w:color="auto"/>
            <w:bottom w:val="none" w:sz="0" w:space="0" w:color="auto"/>
            <w:right w:val="none" w:sz="0" w:space="0" w:color="auto"/>
          </w:divBdr>
          <w:divsChild>
            <w:div w:id="80688953">
              <w:marLeft w:val="0"/>
              <w:marRight w:val="0"/>
              <w:marTop w:val="0"/>
              <w:marBottom w:val="0"/>
              <w:divBdr>
                <w:top w:val="none" w:sz="0" w:space="0" w:color="auto"/>
                <w:left w:val="none" w:sz="0" w:space="0" w:color="auto"/>
                <w:bottom w:val="none" w:sz="0" w:space="0" w:color="auto"/>
                <w:right w:val="none" w:sz="0" w:space="0" w:color="auto"/>
              </w:divBdr>
              <w:divsChild>
                <w:div w:id="18142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64545">
      <w:bodyDiv w:val="1"/>
      <w:marLeft w:val="0"/>
      <w:marRight w:val="0"/>
      <w:marTop w:val="0"/>
      <w:marBottom w:val="0"/>
      <w:divBdr>
        <w:top w:val="none" w:sz="0" w:space="0" w:color="auto"/>
        <w:left w:val="none" w:sz="0" w:space="0" w:color="auto"/>
        <w:bottom w:val="none" w:sz="0" w:space="0" w:color="auto"/>
        <w:right w:val="none" w:sz="0" w:space="0" w:color="auto"/>
      </w:divBdr>
    </w:div>
    <w:div w:id="1573268781">
      <w:bodyDiv w:val="1"/>
      <w:marLeft w:val="0"/>
      <w:marRight w:val="0"/>
      <w:marTop w:val="0"/>
      <w:marBottom w:val="0"/>
      <w:divBdr>
        <w:top w:val="none" w:sz="0" w:space="0" w:color="auto"/>
        <w:left w:val="none" w:sz="0" w:space="0" w:color="auto"/>
        <w:bottom w:val="none" w:sz="0" w:space="0" w:color="auto"/>
        <w:right w:val="none" w:sz="0" w:space="0" w:color="auto"/>
      </w:divBdr>
    </w:div>
    <w:div w:id="1674720427">
      <w:bodyDiv w:val="1"/>
      <w:marLeft w:val="0"/>
      <w:marRight w:val="0"/>
      <w:marTop w:val="0"/>
      <w:marBottom w:val="0"/>
      <w:divBdr>
        <w:top w:val="none" w:sz="0" w:space="0" w:color="auto"/>
        <w:left w:val="none" w:sz="0" w:space="0" w:color="auto"/>
        <w:bottom w:val="none" w:sz="0" w:space="0" w:color="auto"/>
        <w:right w:val="none" w:sz="0" w:space="0" w:color="auto"/>
      </w:divBdr>
      <w:divsChild>
        <w:div w:id="1143085490">
          <w:marLeft w:val="0"/>
          <w:marRight w:val="0"/>
          <w:marTop w:val="0"/>
          <w:marBottom w:val="0"/>
          <w:divBdr>
            <w:top w:val="none" w:sz="0" w:space="0" w:color="auto"/>
            <w:left w:val="none" w:sz="0" w:space="0" w:color="auto"/>
            <w:bottom w:val="none" w:sz="0" w:space="0" w:color="auto"/>
            <w:right w:val="none" w:sz="0" w:space="0" w:color="auto"/>
          </w:divBdr>
          <w:divsChild>
            <w:div w:id="1146318934">
              <w:marLeft w:val="0"/>
              <w:marRight w:val="0"/>
              <w:marTop w:val="300"/>
              <w:marBottom w:val="0"/>
              <w:divBdr>
                <w:top w:val="none" w:sz="0" w:space="0" w:color="auto"/>
                <w:left w:val="none" w:sz="0" w:space="0" w:color="auto"/>
                <w:bottom w:val="none" w:sz="0" w:space="0" w:color="auto"/>
                <w:right w:val="none" w:sz="0" w:space="0" w:color="auto"/>
              </w:divBdr>
              <w:divsChild>
                <w:div w:id="1823505448">
                  <w:marLeft w:val="0"/>
                  <w:marRight w:val="0"/>
                  <w:marTop w:val="0"/>
                  <w:marBottom w:val="0"/>
                  <w:divBdr>
                    <w:top w:val="none" w:sz="0" w:space="0" w:color="auto"/>
                    <w:left w:val="none" w:sz="0" w:space="0" w:color="auto"/>
                    <w:bottom w:val="none" w:sz="0" w:space="0" w:color="auto"/>
                    <w:right w:val="none" w:sz="0" w:space="0" w:color="auto"/>
                  </w:divBdr>
                  <w:divsChild>
                    <w:div w:id="1714840496">
                      <w:marLeft w:val="0"/>
                      <w:marRight w:val="0"/>
                      <w:marTop w:val="0"/>
                      <w:marBottom w:val="0"/>
                      <w:divBdr>
                        <w:top w:val="none" w:sz="0" w:space="0" w:color="auto"/>
                        <w:left w:val="none" w:sz="0" w:space="0" w:color="auto"/>
                        <w:bottom w:val="none" w:sz="0" w:space="0" w:color="auto"/>
                        <w:right w:val="none" w:sz="0" w:space="0" w:color="auto"/>
                      </w:divBdr>
                      <w:divsChild>
                        <w:div w:id="5798727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6306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6" ma:contentTypeDescription="Create a new document." ma:contentTypeScope="" ma:versionID="71c43e5485027b5f147c8a85b925376c">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73016c4177083ba4a10a044d7c53e76d"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ed14257-d796-4264-8ec7-65be597f8cbf}"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6E0A8-461C-474E-BB66-18635DA1FFF5}">
  <ds:schemaRefs>
    <ds:schemaRef ds:uri="http://schemas.openxmlformats.org/officeDocument/2006/bibliography"/>
  </ds:schemaRefs>
</ds:datastoreItem>
</file>

<file path=customXml/itemProps2.xml><?xml version="1.0" encoding="utf-8"?>
<ds:datastoreItem xmlns:ds="http://schemas.openxmlformats.org/officeDocument/2006/customXml" ds:itemID="{AE5142CB-3278-4E9B-AC41-CF65DD72786C}">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3.xml><?xml version="1.0" encoding="utf-8"?>
<ds:datastoreItem xmlns:ds="http://schemas.openxmlformats.org/officeDocument/2006/customXml" ds:itemID="{5AC9B429-2EDD-4F9E-9410-5DDCFA7E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B346E-E73D-4780-8995-222BE3555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Ashton-Under-Lyne Sixth Form College</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Wright</dc:creator>
  <cp:lastModifiedBy>Sarah Nolan</cp:lastModifiedBy>
  <cp:revision>2</cp:revision>
  <cp:lastPrinted>2019-06-05T13:11:00Z</cp:lastPrinted>
  <dcterms:created xsi:type="dcterms:W3CDTF">2026-01-06T15:34:00Z</dcterms:created>
  <dcterms:modified xsi:type="dcterms:W3CDTF">2026-01-06T15:34:00Z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21000</vt:r8>
  </property>
  <property fmtid="{D5CDD505-2E9C-101B-9397-08002B2CF9AE}" pid="4" name="WorkflowChangePath">
    <vt:lpwstr>ebc94332-ea23-4340-ac77-f1da1c4abd13,4;</vt:lpwstr>
  </property>
  <property fmtid="{D5CDD505-2E9C-101B-9397-08002B2CF9AE}" pid="5" name="MediaServiceImageTags">
    <vt:lpwstr/>
  </property>
</Properties>
</file>